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15" w:type="dxa"/>
        <w:tblCellMar>
          <w:top w:w="375" w:type="dxa"/>
          <w:left w:w="375" w:type="dxa"/>
          <w:bottom w:w="375" w:type="dxa"/>
          <w:right w:w="375" w:type="dxa"/>
        </w:tblCellMar>
        <w:tblLook w:val="04A0" w:firstRow="1" w:lastRow="0" w:firstColumn="1" w:lastColumn="0" w:noHBand="0" w:noVBand="1"/>
      </w:tblPr>
      <w:tblGrid>
        <w:gridCol w:w="8365"/>
        <w:gridCol w:w="801"/>
      </w:tblGrid>
      <w:tr w:rsidR="0060552C" w:rsidRPr="0060552C" w:rsidTr="0060552C">
        <w:trPr>
          <w:tblCellSpacing w:w="15" w:type="dxa"/>
        </w:trPr>
        <w:tc>
          <w:tcPr>
            <w:tcW w:w="5000" w:type="pct"/>
            <w:gridSpan w:val="2"/>
            <w:vAlign w:val="center"/>
            <w:hideMark/>
          </w:tcPr>
          <w:p w:rsidR="0060552C" w:rsidRPr="0060552C" w:rsidRDefault="0060552C" w:rsidP="0060552C">
            <w:pPr>
              <w:spacing w:after="0" w:line="240" w:lineRule="auto"/>
              <w:jc w:val="center"/>
              <w:rPr>
                <w:rFonts w:ascii="Arial" w:eastAsia="Times New Roman" w:hAnsi="Arial" w:cs="Arial"/>
                <w:b/>
                <w:sz w:val="24"/>
                <w:szCs w:val="24"/>
                <w:lang w:eastAsia="es-CR"/>
              </w:rPr>
            </w:pPr>
            <w:bookmarkStart w:id="0" w:name="_GoBack"/>
            <w:r w:rsidRPr="0060552C">
              <w:rPr>
                <w:rFonts w:ascii="Arial" w:eastAsia="Times New Roman" w:hAnsi="Arial" w:cs="Arial"/>
                <w:b/>
                <w:sz w:val="24"/>
                <w:szCs w:val="24"/>
                <w:lang w:eastAsia="es-CR"/>
              </w:rPr>
              <w:t xml:space="preserve">Ley de Contratación Administrativa </w:t>
            </w:r>
            <w:bookmarkEnd w:id="0"/>
          </w:p>
        </w:tc>
      </w:tr>
      <w:tr w:rsidR="0060552C" w:rsidRPr="0060552C" w:rsidTr="0060552C">
        <w:trPr>
          <w:tblCellSpacing w:w="15" w:type="dxa"/>
        </w:trPr>
        <w:tc>
          <w:tcPr>
            <w:tcW w:w="0" w:type="auto"/>
            <w:vAlign w:val="center"/>
            <w:hideMark/>
          </w:tcPr>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bookmarkStart w:id="1" w:name="up"/>
            <w:bookmarkEnd w:id="1"/>
            <w:r w:rsidRPr="0060552C">
              <w:rPr>
                <w:rFonts w:ascii="Arial" w:eastAsia="Times New Roman" w:hAnsi="Arial" w:cs="Arial"/>
                <w:sz w:val="24"/>
                <w:szCs w:val="24"/>
                <w:lang w:eastAsia="es-CR"/>
              </w:rPr>
              <w:t>CONTRATACION ADMINISTRATIVA</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t>CAPITULO I</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t>Cobertura y principios generales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t>Sección primera</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t>Cobertura y excepciones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 Cobertura.</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Esta Ley regirá la actividad de contratación desplegada por los órganos del Poder Ejecutivo, el Poder Judicial, el Poder Legislativo, el Tribunal Supremo de Elecciones, la Contraloría General de la República, la Defensoría de los Habitantes, el sector descentralizado territorial e institucional, los entes públicos no estatales y las empresas públicas.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Cuando se utilicen parcial o totalmente recursos públicos, la actividad contractual de todo otro tipo de personas físicas o jurídicas se someterá a los principios de esta Ley.</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Cuando en esta Ley se utilice el término "Administración", se </w:t>
            </w:r>
            <w:r w:rsidRPr="0060552C">
              <w:rPr>
                <w:rFonts w:ascii="Arial" w:eastAsia="Times New Roman" w:hAnsi="Arial" w:cs="Arial"/>
                <w:sz w:val="24"/>
                <w:szCs w:val="24"/>
                <w:lang w:eastAsia="es-CR"/>
              </w:rPr>
              <w:lastRenderedPageBreak/>
              <w:t>entenderá que se refiere a cualquiera de los sujetos destinatarios de sus regulaciones.</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Artículo 2°.-Excepciones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Se excluyen de los procedimientos de concursos establecidos en esta ley las siguientes actividades: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a) La (actividad ordinaria)* de la Administración, entendida como el suministro directo al usuario o destinatario final, de los servicios o las prestaciones establecidas, legal o reglamentariamente, dentro de sus fines.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w:t>
            </w:r>
            <w:r w:rsidRPr="0060552C">
              <w:rPr>
                <w:rFonts w:ascii="Arial" w:eastAsia="Times New Roman" w:hAnsi="Arial" w:cs="Arial"/>
                <w:i/>
                <w:iCs/>
                <w:sz w:val="24"/>
                <w:szCs w:val="24"/>
                <w:lang w:val="es-MX" w:eastAsia="es-CR"/>
              </w:rPr>
              <w:t xml:space="preserve"> Mediante Resolución N° 6754-98 del 22 de setiembre de 1998 la Sala Constitucional indicó: " interprétese la definición de "actividad ordinaria" contenida en los artículos 2 de la Ley de la Contratación Administrativa, número 7494, de dos de mayo de mil novecientos noventa y cinco, reformada por Ley número 7612 de veintidós de julio de mil novecientos noventa y seis, así como en los artículos 76.1 y 76.2.1 del Reglamento General de la Contratación Administrativa, en el sentido de que se trata de la actividad o servicio que constituye la prestación última o final de la Administración que realiza frente al usuario o destinatario final, actividad o servicio que deben estar definidos previamente en la ley, y cuyo desarrollo puede hacerse mediante reglamento autónomo o de servicio, pero no ejecutivo."</w:t>
            </w:r>
            <w:r w:rsidRPr="0060552C">
              <w:rPr>
                <w:rFonts w:ascii="Arial" w:eastAsia="Times New Roman" w:hAnsi="Arial" w:cs="Arial"/>
                <w:sz w:val="24"/>
                <w:szCs w:val="24"/>
                <w:lang w:val="es-MX"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b) Los acuerdos celebrados con otros Estados o con sujetos de </w:t>
            </w:r>
            <w:r w:rsidRPr="0060552C">
              <w:rPr>
                <w:rFonts w:ascii="Arial" w:eastAsia="Times New Roman" w:hAnsi="Arial" w:cs="Arial"/>
                <w:sz w:val="24"/>
                <w:szCs w:val="24"/>
                <w:lang w:val="es-MX" w:eastAsia="es-CR"/>
              </w:rPr>
              <w:lastRenderedPageBreak/>
              <w:t xml:space="preserve">derecho público internacional.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c) La actividad contractual desarrollada entre entes de derecho público.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d) La actividad de contratación que, por su naturaleza o las circunstancias concurrentes, no pueda ser sometida a concurso público o no convenga someterla, sea porque solo existe un único proveedor, por razones especiales de seguridad o por otras igualmente calificadas de acuerdo con el Reglamento de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 xml:space="preserve">(Así reformado el inciso anterior mediante el artículo 1° de la ley N° 8511 del 16 de mayo del 2006).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 Las compras realizadas con fondos de caja chica, según se dispondrá reglamentariamente, siempre y cuando no excedan de los límites económicos fijados conforme al inciso anterior.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f) Las contrataciones que se realicen para la construcción, la instalación o la provisión de oficinas o servicios en el exterior.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g) Las actividades que resulten excluidas, de acuerdo con la ley o los instrumentos internacionales vigentes en Costa Rica.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h) </w:t>
            </w:r>
            <w:r w:rsidRPr="0060552C">
              <w:rPr>
                <w:rFonts w:ascii="Arial" w:eastAsia="Times New Roman" w:hAnsi="Arial" w:cs="Arial"/>
                <w:color w:val="333333"/>
                <w:sz w:val="24"/>
                <w:szCs w:val="24"/>
                <w:lang w:val="es-ES_tradnl" w:eastAsia="es-CR"/>
              </w:rPr>
              <w:t xml:space="preserve">La actividad que, por su escasa cuantía, no convenga que sea sometida a los procedimientos ordinarios de concurso, de conformidad con los límites establecidos en el artículo 27 de esta Ley. En estos casos, la administración cursará invitación por lo menos a tres potenciales proveedores idóneos, si existen, </w:t>
            </w:r>
            <w:r w:rsidRPr="0060552C">
              <w:rPr>
                <w:rFonts w:ascii="Arial" w:eastAsia="Times New Roman" w:hAnsi="Arial" w:cs="Arial"/>
                <w:color w:val="333333"/>
                <w:sz w:val="24"/>
                <w:szCs w:val="24"/>
                <w:lang w:val="es-ES_tradnl" w:eastAsia="es-CR"/>
              </w:rPr>
              <w:lastRenderedPageBreak/>
              <w:t xml:space="preserve">y adjudicará a la oferta de menor precio, sin perjuicio de que se valoren otros factores que se estimen relevantes, lo cual deberá definirse en la invitación. La administración estudiará todas las ofertas que se presenten al concurso, independientemente de si provienen de empresas que fueron invitadas o no.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reformado el inciso anterior por el artículo 1° aparte a) de la ley N° 8701 del 13 de enero de 2009)</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Quedan fuera del alcance de la presente ley las siguientes actividades: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1.-Las relaciones de empleo.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2.- Los empréstitos públicos.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3.- Otras actividades sometidas por ley a un régimen especial de contratación.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Se exceptúan de la aplicación de esta ley, los entes públicos no estatales cuyo financiamiento provenga, en más de un cincuenta por ciento (50%), de recursos propios, los aportes o las contribuciones de sus agremiados, y las empresas públicas cuyo capital social pertenezca, en su mayoría, a particulares y no al sector público.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 xml:space="preserve">(Así reformado por el artículo 1º, inciso a), de la ley Nº 7612 de 22 de julio de 1996)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2 bis.-</w:t>
            </w:r>
            <w:r w:rsidRPr="0060552C">
              <w:rPr>
                <w:rFonts w:ascii="Arial" w:eastAsia="Times New Roman" w:hAnsi="Arial" w:cs="Arial"/>
                <w:b/>
                <w:bCs/>
                <w:sz w:val="24"/>
                <w:szCs w:val="24"/>
                <w:lang w:val="es-MX" w:eastAsia="es-CR"/>
              </w:rPr>
              <w:t>Autorizaciones</w:t>
            </w:r>
            <w:r w:rsidRPr="0060552C">
              <w:rPr>
                <w:rFonts w:ascii="Arial" w:eastAsia="Times New Roman" w:hAnsi="Arial" w:cs="Arial"/>
                <w:sz w:val="24"/>
                <w:szCs w:val="24"/>
                <w:lang w:val="es-MX" w:eastAsia="es-CR"/>
              </w:rPr>
              <w:t xml:space="preserve">. </w:t>
            </w:r>
            <w:proofErr w:type="spellStart"/>
            <w:r w:rsidRPr="0060552C">
              <w:rPr>
                <w:rFonts w:ascii="Arial" w:eastAsia="Times New Roman" w:hAnsi="Arial" w:cs="Arial"/>
                <w:sz w:val="24"/>
                <w:szCs w:val="24"/>
                <w:lang w:val="es-MX" w:eastAsia="es-CR"/>
              </w:rPr>
              <w:t>Exclúyense</w:t>
            </w:r>
            <w:proofErr w:type="spellEnd"/>
            <w:r w:rsidRPr="0060552C">
              <w:rPr>
                <w:rFonts w:ascii="Arial" w:eastAsia="Times New Roman" w:hAnsi="Arial" w:cs="Arial"/>
                <w:sz w:val="24"/>
                <w:szCs w:val="24"/>
                <w:lang w:val="es-MX" w:eastAsia="es-CR"/>
              </w:rPr>
              <w:t xml:space="preserve"> de los procedimientos de concurso establecidos en esta Ley, los siguientes supuestos autorizados por la Contraloría General de la República: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a) Cuando los bienes, las obras o los servicios, en razón de su gran complejidad o su carácter especializado, solo puedan obtenerse de un número limitado de proveedores o contratistas, de manera que por razones de economía y eficiencia no resulte adecuada la aplicación de los procedimientos ordinarios.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b) En los casos en que la administración, habiendo adquirido ya equipo tecnológico, decida adquirir más productos del mismo contratista, por razones de normalización o por la necesidad de asegurar su compatibilidad con los equipos tecnológicos que se estén utilizando, teniendo en cuenta si el contrato original satisfizo adecuadamente las necesidades de la administración adjudicadora, si el precio es razonable y, especialmente, si se descartó la existencia de mejores alternativas en el mercado.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c) Otras actividades o casos específicos en los que se acrediten suficientes razones para considerar que es la única forma de alcanzar la debida satisfacción del interés general o de evitar daños o lesiones a los intereses públicos.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La solicitud que dirija la administración deberá contener una justificación detallada de las circunstancias que motivan la aplicación de las excepciones establecidas en este artículo, así como el detalle de la forma que se ha previsto para seleccionar al contratista.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La Contraloría General resolverá la solicitud en el término de diez días hábiles y podrá establecer procedimientos sustitutivos a los ordinarios. Asimismo, especificará la vía recursiva que proceda en estos casos, así como los plazos aplicables al trámite respectivo.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Las autorizaciones contempladas en este artículo no exoneran a la administración solicitante por los resultados de la contratación, ni por la calificación errónea de las circunstancias que, eventualmente, puedan servir de justificación para la solicitud de excepción de los procedimientos ordinarios de contratación.</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adicionado mediante el artículo 3°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Verdana" w:hAnsi="Arial" w:cs="Arial"/>
                <w:sz w:val="24"/>
                <w:szCs w:val="24"/>
                <w:lang w:val="es-MX" w:eastAsia="es-CR"/>
              </w:rPr>
              <w:t xml:space="preserve">Artículo 3.-Régimen jurídico.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La actividad de contratación administrativa se somete a las normas y los principios del ordenamiento jurídico administrativo.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Cuando lo justifique la satisfacción del fin público, la Administración podrá utilizar, instrumentalmente, cualquier figura contractual que no se regule en el ordenamiento jurídico-administrativo.</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todos los casos, se respetarán los principios, los requisitos y </w:t>
            </w:r>
            <w:r w:rsidRPr="0060552C">
              <w:rPr>
                <w:rFonts w:ascii="Arial" w:eastAsia="Times New Roman" w:hAnsi="Arial" w:cs="Arial"/>
                <w:sz w:val="24"/>
                <w:szCs w:val="24"/>
                <w:lang w:val="es-MX" w:eastAsia="es-CR"/>
              </w:rPr>
              <w:lastRenderedPageBreak/>
              <w:t xml:space="preserve">los procedimientos ordinarios establecidos en esta Ley, en particular en lo relativo a la formación de la voluntad administrativa.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El régimen de nulidades de la Ley General de la Administración Pública se aplicará a la contratación administrativa.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Las disposiciones de esta Ley se interpretarán y se aplicarán, en concordancia con las facultades de fiscalización superior de la hacienda pública que le corresponden a la Contraloría General de la República, de conformidad con su Ley Orgánica y la Constitución Política.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Para el mejor ejercicio de sus potestades de fiscalización en la materia regulada en esta Ley, la Contraloría General de la República podrá requerir el criterio técnico de asesores externos; para ello, estará facultada para recurrir al procedimiento previsto en el inciso h), del artículo 2 de esta Ley, independientemente de la cuantía de la contratación. En caso de que tal requerimiento se formule ante un ente u órgano público, su atención será obligatoria, de conformidad con lo dispuesto en el artículo 12 de la Ley orgánica de la Contraloría General de la República.</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adicionado el párrafo anterior mediante el artículo 3°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Sección segunda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lastRenderedPageBreak/>
              <w:t>Principios generales</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4º-</w:t>
            </w:r>
            <w:r w:rsidRPr="0060552C">
              <w:rPr>
                <w:rFonts w:ascii="Arial" w:eastAsia="Times New Roman" w:hAnsi="Arial" w:cs="Arial"/>
                <w:b/>
                <w:bCs/>
                <w:sz w:val="24"/>
                <w:szCs w:val="24"/>
                <w:lang w:val="es-MX" w:eastAsia="es-CR"/>
              </w:rPr>
              <w:t>Principios de eficacia y eficiencia</w:t>
            </w:r>
            <w:r w:rsidRPr="0060552C">
              <w:rPr>
                <w:rFonts w:ascii="Arial" w:eastAsia="Times New Roman" w:hAnsi="Arial" w:cs="Arial"/>
                <w:sz w:val="24"/>
                <w:szCs w:val="24"/>
                <w:lang w:val="es-MX" w:eastAsia="es-CR"/>
              </w:rPr>
              <w:t xml:space="preserve">. Todos los actos relativos a la actividad de contratación administrativa deberán estar orientados al cumplimiento de los fines, las metas y los objetivos de la administración, con el propósito de garantizar la efectiva satisfacción del interés general, a partir de un uso eficiente de los recursos institucionales.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Las disposiciones que regulan la actividad de contratación administrativa, deberán ser interpretadas de la manera que más favorezca la consecución de lo dispuesto en el párrafo anterior.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todas las etapas de los procedimientos de contratación, prevalecerá el contenido sobre la forma, de manera que se seleccione la oferta más conveniente, de conformidad con el párrafo primero de este artículo.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Los actos y las actuaciones de las partes se interpretarán en forma tal que se permita su conservación y se facilite adoptar la decisión final, en condiciones beneficiosas para el interés general. Los defectos subsanables no descalificarán la oferta que los contenga. En caso de duda, siempre se favorecerá la conservación de la oferta o, en su caso, la del acto de adjudicación.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Las regulaciones de los procedimientos deberán desarrollarse a partir de los enunciados de los párrafos anteriores.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reformado mediante el artículo 1° de la ley N° 8511 del 16 de mayo del 2006).</w:t>
            </w:r>
            <w:r w:rsidRPr="0060552C">
              <w:rPr>
                <w:rFonts w:ascii="Arial" w:eastAsia="Times New Roman" w:hAnsi="Arial" w:cs="Arial"/>
                <w:sz w:val="24"/>
                <w:szCs w:val="24"/>
                <w:lang w:val="es-MX"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Artículo 5.-Principio de igualdad y libre competencia.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En los procedimientos de contratación administrativa, se respetará la igualdad de participación de todos los oferentes potenciales. Los reglamentos de esta Ley o las disposiciones que rijan los procedimientos específicos de cada contratación, no podrán incluir ninguna regulación que impida la libre competencia entre los oferentes potenciales.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La participación de oferentes extranjeros se regirá por el principio de reciprocidad, según el cual a ellos se les brindará el mismo trato que reciban los nacionales en el país de origen de aquellos. El Poder Ejecutivo establecerá, reglamentariamente, las disposiciones necesarias para la vigencia plena del principio estipulado en este párrafo.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Los carteles y los pliegos de condiciones no podrán disponer formas de pago ni contener ninguna regulación que otorgue a los oferentes nacionales un trato menos ventajoso que el otorgado a los oferentes extranjeros.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Los órganos y entes públicos no podrán usar sus prerrogativas de exoneración para importar, por medio de adjudicatarios de licitaciones, concesionarios ni otros terceros, productos manufacturados incluidos en los supuestos de prioridad del Artículo 12 de la Ley Nº 7017, del 16 de diciembre de 1985.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lastRenderedPageBreak/>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sz w:val="24"/>
                <w:szCs w:val="24"/>
                <w:lang w:val="es-ES" w:eastAsia="es-ES"/>
              </w:rPr>
              <w:t xml:space="preserve">(Así adicionado el párrafo anterior por el artículo 1º aparte b) de la ley Nº 7612 de 22 de julio de 1996)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Verdana" w:hAnsi="Arial" w:cs="Arial"/>
                <w:sz w:val="24"/>
                <w:szCs w:val="24"/>
                <w:lang w:val="es-MX" w:eastAsia="es-CR"/>
              </w:rPr>
              <w:t xml:space="preserve">ARTICULO 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Principio de publicidad.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Los procedimientos de contratación se darán a la publicidad por los medios correspondientes a su naturaleza.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Todo interesado tendrá libre acceso al expediente de contratación administrativa y a la información complementaria.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el primer mes de cada período presupuestario, los órganos y entes sujetos a las regulaciones de esta Ley darán a conocer el programa de adquisiciones proyectado, lo cual no implicará ningún compromiso de contratar. Para tales efectos, podrá recurrirse a la publicación en el Diario Oficial o a otros medios idóneos, tales como la página electrónica oficial del órgano o entidad. De utilizarse medios distintos de la publicación en </w:t>
            </w:r>
            <w:r w:rsidRPr="0060552C">
              <w:rPr>
                <w:rFonts w:ascii="Arial" w:eastAsia="Times New Roman" w:hAnsi="Arial" w:cs="Arial"/>
                <w:i/>
                <w:iCs/>
                <w:sz w:val="24"/>
                <w:szCs w:val="24"/>
                <w:lang w:val="es-MX" w:eastAsia="es-CR"/>
              </w:rPr>
              <w:t>La Gaceta</w:t>
            </w:r>
            <w:r w:rsidRPr="0060552C">
              <w:rPr>
                <w:rFonts w:ascii="Arial" w:eastAsia="Times New Roman" w:hAnsi="Arial" w:cs="Arial"/>
                <w:sz w:val="24"/>
                <w:szCs w:val="24"/>
                <w:lang w:val="es-MX" w:eastAsia="es-CR"/>
              </w:rPr>
              <w:t xml:space="preserve">, el respectivo órgano o entidad por lo menos deberá informar, en el citado diario o en dos diarios de circulación nacional, acerca del medio empleado para dar a conocer su programa de adquisiciones.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reformado el párrafo anterior mediante el artículo 1° de la ley N° 8511 del 16 de mayo del 2006).</w:t>
            </w:r>
            <w:r w:rsidRPr="0060552C">
              <w:rPr>
                <w:rFonts w:ascii="Arial" w:eastAsia="Times New Roman" w:hAnsi="Arial" w:cs="Arial"/>
                <w:i/>
                <w:iCs/>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el Diario Oficial se insertará un boletín que funcionará como sección especial dedicada exclusivamente a la contratación administrativa.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En el primer tercio del plazo previsto para el estudio de ofertas o para el trámite de la apelación, la administración o la Contraloría General de la República, en su caso, podrán conceder una audiencia solicitada por algún interesado. De ser concedida esa audiencia o cualquier otra durante el procedimiento de contratación, la administración o la Contraloría deberá poner en conocimiento a las restantes partes o interesados, acerca de su hora, lugar y fecha, por medio de la dirección electrónica o el fax previamente señalados, asimismo, mediante un aviso que se colocará en un lugar accesible al público. En todo caso, de la audiencia se levantará una minuta y se adjuntará al expediente.</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adicionado el párrafo anterior mediante el artículo 3°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1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lastRenderedPageBreak/>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CAPITULO II</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Requisitos previos de los procedimientos de contratación</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Sección primera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Requisitos</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7º-</w:t>
            </w:r>
            <w:r w:rsidRPr="0060552C">
              <w:rPr>
                <w:rFonts w:ascii="Arial" w:eastAsia="Times New Roman" w:hAnsi="Arial" w:cs="Arial"/>
                <w:b/>
                <w:bCs/>
                <w:sz w:val="24"/>
                <w:szCs w:val="24"/>
                <w:lang w:val="es-MX" w:eastAsia="es-CR"/>
              </w:rPr>
              <w:t>Inicio del procedimiento</w:t>
            </w:r>
            <w:r w:rsidRPr="0060552C">
              <w:rPr>
                <w:rFonts w:ascii="Arial" w:eastAsia="Times New Roman" w:hAnsi="Arial" w:cs="Arial"/>
                <w:sz w:val="24"/>
                <w:szCs w:val="24"/>
                <w:lang w:val="es-MX" w:eastAsia="es-CR"/>
              </w:rPr>
              <w:t xml:space="preserve">. El procedimiento de contratación se iniciará con la decisión administrativa de promover el concurso, emitida por el jerarca o titular subordinado competente.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Esta decisión encabezará el expediente que se forme y contendrá una justificación de su procedencia, una descripción y estimación de costo del objeto, así como el cronograma con las tareas y los responsables de su ejecución.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La justificación del inicio del procedimiento de contratación deberá estar acorde con lo establecido en los planes de largo y mediano plazos, el Plan Nacional de Desarrollo, cuando sea aplicable, el plan anual operativo, el presupuesto y el programa de adquisición institucional, según corresponda.</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reformado mediante el artículo 1° de la ley N° 8511 del 16 de mayo del 2006).</w:t>
            </w:r>
            <w:r w:rsidRPr="0060552C">
              <w:rPr>
                <w:rFonts w:ascii="Arial" w:eastAsia="Times New Roman" w:hAnsi="Arial" w:cs="Arial"/>
                <w:i/>
                <w:iCs/>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lastRenderedPageBreak/>
              <w:br/>
            </w:r>
            <w:r w:rsidRPr="0060552C">
              <w:rPr>
                <w:rFonts w:ascii="Arial" w:eastAsia="Times New Roman" w:hAnsi="Arial" w:cs="Arial"/>
                <w:sz w:val="24"/>
                <w:szCs w:val="24"/>
                <w:lang w:eastAsia="es-CR"/>
              </w:rPr>
              <w:br/>
            </w:r>
            <w:hyperlink r:id="rId1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Artículo 8.-Disponibilidad presupuestaria.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Para iniciar el procedimiento de contratación administrativa, es necesario contar con recursos presupuestarios suficientes para enfrentar la erogación respectiva. En casos excepcionales y para atender una necesidad muy calificada, a juicio de la Administración y previa autorización de la Contraloría General de la República, podrán iniciarse los procedimientos de contratación administrativa, para lo cual se requiere la seguridad de que oportunamente se dispondrá de la asignación presupuestaria. En estas situaciones, la Administración advertirá, expresamente en el cartel, que la validez de la contratación queda sujeta a la existencia del contenido presupuestario.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sz w:val="24"/>
                <w:szCs w:val="24"/>
                <w:lang w:val="es-ES" w:eastAsia="es-ES"/>
              </w:rPr>
              <w:t xml:space="preserve"> (Así reformado el párrafo anterior por el artículo 1º aparte c) de la ley Nº 7612 de 22 de julio de 1996)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En las contrataciones cuyo desarrollo se prolongue por más de un período presupuestario, deberán adoptarse las previsiones necesarias para garantizar el pago de las obligaciones.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3"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lastRenderedPageBreak/>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9.-</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Previsión de verificación. Para comenzar el procedimiento de contratación, la Administración deberá acreditar, en el expediente respectivo, que dispone o llegará a disponer, en el momento oportuno, de los recursos humanos y la infraestructura administrativa suficiente para verificar el fiel cumplimiento del objeto de la contratación, tanto cuantitativa como cualitativamente. </w:t>
            </w:r>
            <w:r w:rsidRPr="0060552C">
              <w:rPr>
                <w:rFonts w:ascii="Arial" w:eastAsia="Times New Roman" w:hAnsi="Arial" w:cs="Arial"/>
                <w:sz w:val="24"/>
                <w:szCs w:val="24"/>
                <w:lang w:eastAsia="es-CR"/>
              </w:rPr>
              <w:br/>
            </w:r>
            <w:hyperlink r:id="rId14"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CAPITULO III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Derechos y obligaciones de la Administración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única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Derechos de la Administración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10.-</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Sumisión a la normativa administrativa. En cualquier procedimiento de contratación administrativa, el oferente queda plenamente sometido al ordenamiento jurídico costarricense, en especial a los postulados de </w:t>
            </w:r>
            <w:r w:rsidRPr="0060552C">
              <w:rPr>
                <w:rFonts w:ascii="Arial" w:eastAsia="Times New Roman" w:hAnsi="Arial" w:cs="Arial"/>
                <w:sz w:val="24"/>
                <w:szCs w:val="24"/>
                <w:lang w:eastAsia="es-CR"/>
              </w:rPr>
              <w:lastRenderedPageBreak/>
              <w:t xml:space="preserve">esta Ley, su Reglamento Ejecutivo, el reglamento institucional correspondiente, el cartel del respectivo procedimiento y, en general, a cualquier otra regulación administrativa relacionada con el procedimiento de contratación de que se trate. </w:t>
            </w:r>
            <w:r w:rsidRPr="0060552C">
              <w:rPr>
                <w:rFonts w:ascii="Arial" w:eastAsia="Times New Roman" w:hAnsi="Arial" w:cs="Arial"/>
                <w:sz w:val="24"/>
                <w:szCs w:val="24"/>
                <w:lang w:eastAsia="es-CR"/>
              </w:rPr>
              <w:br/>
            </w:r>
            <w:hyperlink r:id="rId1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11.-</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Derecho de rescisión y resolución unilateral. Unilateralmente, la Administración podrá rescindir o resolver, según corresponda, sus relaciones contractuales, por motivo de incumplimiento, por causa de fuerza mayor, caso fortuito o cuando así convenga al interés público, todo con apego al debido proceso. Cuando se ponga término al contrato, por causas que no se le imputen al contratista, la Administración deberá liquidarle la parte que haya sido efectivamente ejecutada y resarcirle los daños y perjuicios ocasionados. En los supuestos de caso fortuito o fuerza mayor, se liquidará en forma exclusiva la parte efectivamente ejecutada y los gastos en que haya incurrido razonablemente el contratista en previsión de la ejecución total del contrato. La Administración podrá reconocer, en sede administrativa, los extremos indicados en los incisos anteriores. Para hacer efectiva la resolución deberá contar con la aprobación de la Contraloría General de la República. </w:t>
            </w:r>
            <w:r w:rsidRPr="0060552C">
              <w:rPr>
                <w:rFonts w:ascii="Arial" w:eastAsia="Times New Roman" w:hAnsi="Arial" w:cs="Arial"/>
                <w:sz w:val="24"/>
                <w:szCs w:val="24"/>
                <w:lang w:eastAsia="es-CR"/>
              </w:rPr>
              <w:br/>
            </w:r>
            <w:hyperlink r:id="rId1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Artículo 12.-Derecho de modificación unilateral.</w:t>
            </w:r>
            <w:r w:rsidRPr="0060552C">
              <w:rPr>
                <w:rFonts w:ascii="Arial" w:eastAsia="Times New Roman" w:hAnsi="Arial" w:cs="Arial"/>
                <w:sz w:val="24"/>
                <w:szCs w:val="24"/>
                <w:lang w:val="es-ES" w:eastAsia="es-ES"/>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Durante la ejecución del contrato, la Administración podrá modificar, disminuir o aumentar, hasta en un cincuenta por ciento (50%), el objeto de la contratación, cuando concurran circunstancias imprevisibles en el momento de iniciarse los procedimientos y esa sea la única forma de satisfacer plenamente el interés público perseguido, siempre que la suma de la contratación original y el incremento adicional no excedan del límite previsto, en el Artículo 27 de esta Ley, </w:t>
            </w:r>
            <w:r w:rsidRPr="0060552C">
              <w:rPr>
                <w:rFonts w:ascii="Arial" w:eastAsia="Times New Roman" w:hAnsi="Arial" w:cs="Arial"/>
                <w:sz w:val="24"/>
                <w:szCs w:val="24"/>
                <w:lang w:val="es-MX" w:eastAsia="es-ES"/>
              </w:rPr>
              <w:lastRenderedPageBreak/>
              <w:t>para el procedimiento de contratación que se trate.</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i/>
                <w:sz w:val="24"/>
                <w:szCs w:val="24"/>
                <w:lang w:val="es-MX" w:eastAsia="es-ES"/>
              </w:rPr>
              <w:t>(*)</w:t>
            </w:r>
            <w:r w:rsidRPr="0060552C">
              <w:rPr>
                <w:rFonts w:ascii="Arial" w:eastAsia="Times New Roman" w:hAnsi="Arial" w:cs="Arial"/>
                <w:sz w:val="24"/>
                <w:szCs w:val="24"/>
                <w:lang w:val="es-MX" w:eastAsia="es-ES"/>
              </w:rPr>
              <w:t xml:space="preserve">La administración podrá recibir objetos actualizados respecto del bien adjudicado, en el tanto se cumplan las siguientes condiciones: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a) Que los objetos sean de la misma naturaleza.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b) Que se dé un cambio tecnológico que mejore el objeto.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c) Que no se incremente el precio ofertado.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d) Que se mantengan las demás condiciones que motivaron la adjudicación.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sz w:val="24"/>
                <w:szCs w:val="24"/>
                <w:lang w:val="es-MX" w:eastAsia="es-ES"/>
              </w:rPr>
              <w:t>(*)(Así adicionado el párrafo anterior por el artículo 3° de la ley N° 8511 del 16 de mayo de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En las contrataciones para la adquisición de equipos tecnológicos, el adjudicatario estará obligado a cumplir con la entrega de la última actualización tecnológica de los bienes adjudicados, siempre y cuando la administración lo haya dispuesto expresamente en el cartel.</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sz w:val="24"/>
                <w:szCs w:val="24"/>
                <w:lang w:val="es-MX" w:eastAsia="es-ES"/>
              </w:rPr>
              <w:t>(Así adicionado el párrafo anterior por el artículo 3° de la ley N° 8511 del 16 de mayo de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12 bis.-</w:t>
            </w:r>
            <w:r w:rsidRPr="0060552C">
              <w:rPr>
                <w:rFonts w:ascii="Arial" w:eastAsia="Times New Roman" w:hAnsi="Arial" w:cs="Arial"/>
                <w:b/>
                <w:bCs/>
                <w:sz w:val="24"/>
                <w:szCs w:val="24"/>
                <w:lang w:val="es-MX" w:eastAsia="es-CR"/>
              </w:rPr>
              <w:t>Nueva contratación</w:t>
            </w:r>
            <w:r w:rsidRPr="0060552C">
              <w:rPr>
                <w:rFonts w:ascii="Arial" w:eastAsia="Times New Roman" w:hAnsi="Arial" w:cs="Arial"/>
                <w:sz w:val="24"/>
                <w:szCs w:val="24"/>
                <w:lang w:val="es-MX" w:eastAsia="es-CR"/>
              </w:rPr>
              <w:t xml:space="preserve">. Si, una vez ejecutado un contrato, la administración requiere suministros o servicios adicionales de igual naturaleza, podrá obtenerlos del mismo contratista, siempre que se cumplan los siguientes requisitos: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a) Que el contratista convenga en ello.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b) Que el nuevo contrato se concluya sobre las mismas bases del precedente.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c) Que el monto del nuevo contrato no sume más del cincuenta por ciento (50%) del contrato anterior.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d) Que no hayan transcurrido más de seis meses desde la recepción provisional del objeto del primer contrato.</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adicionado mediante el artículo 3°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13.-</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Fiscalización. La Administración fiscalizará todo el proceso de ejecución, para eso el contratista deberá ofrecer las facilidades necesarias. A fin de establecer la verdad real, podrá prescindir de las formas jurídicas que adopten los agentes económicos, cuando no correspondan a la realidad de los hechos. En virtud de este derecho de fiscalización, la Administración tiene la potestad de aplicar los términos contractuales para que el contratista corrija cualquier desajuste respecto del cumplimiento exacto de las obligaciones pactadas. Si la Administración no fiscaliza los procesos, eso no exime al contratista de cumplir con sus deberes ni de la responsabilidad que le pueda corresponder. </w:t>
            </w:r>
            <w:r w:rsidRPr="0060552C">
              <w:rPr>
                <w:rFonts w:ascii="Arial" w:eastAsia="Times New Roman" w:hAnsi="Arial" w:cs="Arial"/>
                <w:sz w:val="24"/>
                <w:szCs w:val="24"/>
                <w:lang w:eastAsia="es-CR"/>
              </w:rPr>
              <w:br/>
            </w:r>
            <w:hyperlink r:id="rId1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14.-</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Derecho de ejecución de garantías. Cuando un oferente o un contratista </w:t>
            </w:r>
            <w:proofErr w:type="gramStart"/>
            <w:r w:rsidRPr="0060552C">
              <w:rPr>
                <w:rFonts w:ascii="Arial" w:eastAsia="Times New Roman" w:hAnsi="Arial" w:cs="Arial"/>
                <w:sz w:val="24"/>
                <w:szCs w:val="24"/>
                <w:lang w:eastAsia="es-CR"/>
              </w:rPr>
              <w:t>incurra</w:t>
            </w:r>
            <w:proofErr w:type="gramEnd"/>
            <w:r w:rsidRPr="0060552C">
              <w:rPr>
                <w:rFonts w:ascii="Arial" w:eastAsia="Times New Roman" w:hAnsi="Arial" w:cs="Arial"/>
                <w:sz w:val="24"/>
                <w:szCs w:val="24"/>
                <w:lang w:eastAsia="es-CR"/>
              </w:rPr>
              <w:t xml:space="preserve"> en incumplimiento, la Administración podrá hacer efectiva la garantía correspondiente. La decisión administrativa de ejecutar esa garantía debe ser motivada y se dará audiencia previa al interesado para exponer su posición. </w:t>
            </w:r>
            <w:r w:rsidRPr="0060552C">
              <w:rPr>
                <w:rFonts w:ascii="Arial" w:eastAsia="Times New Roman" w:hAnsi="Arial" w:cs="Arial"/>
                <w:sz w:val="24"/>
                <w:szCs w:val="24"/>
                <w:lang w:eastAsia="es-CR"/>
              </w:rPr>
              <w:br/>
            </w:r>
            <w:hyperlink r:id="rId2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segunda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Obligaciones de la Administración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15.-</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Obligación de cumplimiento. La Administración está obligada a cumplir con todos los compromisos, adquiridos válidamente, en la contratación administrativa y a prestar colaboración para que el contratista ejecute en forma idónea el objeto pactado. </w:t>
            </w:r>
            <w:r w:rsidRPr="0060552C">
              <w:rPr>
                <w:rFonts w:ascii="Arial" w:eastAsia="Times New Roman" w:hAnsi="Arial" w:cs="Arial"/>
                <w:sz w:val="24"/>
                <w:szCs w:val="24"/>
                <w:lang w:eastAsia="es-CR"/>
              </w:rPr>
              <w:br/>
            </w:r>
            <w:hyperlink r:id="rId2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Obligación de tramitación. La Administración está obligada a tramitar, en un plazo de treinta días hábiles, cualquier gestión que le formule el contratista, cuando sea necesaria para ejecutar la contratación. Transcurrido este plazo sin una respuesta motivada de la Administración, operará el silencio positivo y la gestión se tendrá por acogida. Lo anterior sin detrimento de la responsabilidad en que pueda incurrir el funcionario, a tenor del artículo 96 de esta Ley. </w:t>
            </w:r>
            <w:r w:rsidRPr="0060552C">
              <w:rPr>
                <w:rFonts w:ascii="Arial" w:eastAsia="Times New Roman" w:hAnsi="Arial" w:cs="Arial"/>
                <w:sz w:val="24"/>
                <w:szCs w:val="24"/>
                <w:lang w:eastAsia="es-CR"/>
              </w:rPr>
              <w:br/>
            </w:r>
            <w:hyperlink r:id="rId2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CAPITULO IV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Derechos y obligaciones de los contratistas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primera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Derechos de los contratistas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17.-</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Derecho a la ejecución. Los contratistas tienen derecho de ejecutar plenamente lo pactado, excepto si se produce alguno de los supuestos mencionados en el artículo 11 de esta Ley. </w:t>
            </w:r>
            <w:r w:rsidRPr="0060552C">
              <w:rPr>
                <w:rFonts w:ascii="Arial" w:eastAsia="Times New Roman" w:hAnsi="Arial" w:cs="Arial"/>
                <w:sz w:val="24"/>
                <w:szCs w:val="24"/>
                <w:lang w:eastAsia="es-CR"/>
              </w:rPr>
              <w:br/>
            </w:r>
            <w:hyperlink r:id="rId23"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18.-</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Mantenimiento del equilibrio económico del contrato.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Salvo cuando se estipulen, expresamente, parámetros distintos en los términos del cartel respectivo, en los contratos de obra, servicios y suministros, con personas o empresas de la industria de la construcción, la Administración reajustará los precios, aumentándolos o disminuyéndolos, cuando varíen los costos, directos o indirectos, estrictamente relacionados con la obra, el servicio o el suministro, mediante la aplicación de ecuaciones matemáticas basadas en los índices oficiales de precios y costos, elaborados por el Ministerio de Economía, Industria y Comercio.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Los reajustes se calcularán sobre estimaciones mensuales, con base en los precios de la oferta y los índices correspondientes al mes de la apertura de las ofertas. Para aplicar el reajuste, el contratista deberá presentar, en su oferta, un presupuesto detallado y completo con todos los elementos que componen su precio, incluyendo un desglose de los precios unitarios. La presentación de facturas, por avance de obra cada mes, será obligatoria.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Verdana" w:hAnsi="Arial" w:cs="Arial"/>
                <w:i/>
                <w:iCs/>
                <w:sz w:val="24"/>
                <w:szCs w:val="24"/>
                <w:highlight w:val="magenta"/>
                <w:lang w:val="es-ES" w:eastAsia="es-ES"/>
              </w:rPr>
              <w:t>(Así reformado el párrafo anterior de acuerdo con la anulación parcial ordenada por resolución de</w:t>
            </w:r>
            <w:r w:rsidRPr="0060552C">
              <w:rPr>
                <w:rFonts w:ascii="Arial" w:eastAsia="Times New Roman" w:hAnsi="Arial" w:cs="Arial"/>
                <w:i/>
                <w:iCs/>
                <w:sz w:val="24"/>
                <w:szCs w:val="24"/>
                <w:lang w:val="es-ES" w:eastAsia="es-CR"/>
              </w:rPr>
              <w:t xml:space="preserve"> la Sala Constitucional N° 6432-98 del 04 </w:t>
            </w:r>
            <w:r w:rsidRPr="0060552C">
              <w:rPr>
                <w:rFonts w:ascii="Arial" w:eastAsia="Times New Roman" w:hAnsi="Arial" w:cs="Arial"/>
                <w:i/>
                <w:iCs/>
                <w:sz w:val="24"/>
                <w:szCs w:val="24"/>
                <w:lang w:val="es-ES" w:eastAsia="es-CR"/>
              </w:rPr>
              <w:lastRenderedPageBreak/>
              <w:t>de setiembre de 1998.)</w:t>
            </w:r>
            <w:r w:rsidRPr="0060552C">
              <w:rPr>
                <w:rFonts w:ascii="Arial" w:eastAsia="Times New Roman" w:hAnsi="Arial" w:cs="Arial"/>
                <w:sz w:val="24"/>
                <w:szCs w:val="24"/>
                <w:lang w:val="es-ES" w:eastAsia="es-CR"/>
              </w:rPr>
              <w:t xml:space="preserve">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En las restantes contrataciones, cuando se produzcan variaciones en los costos estrictamente relacionados con el objeto del contrato, podrán establecerse los mecanismos necesarios de revisión de precios, para mantener el equilibrio económico del contrato.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Para cumplir con lo estipulado en los párrafos anteriores, en el Reglamento de la presente Ley se establecerán los criterios técnicos por seguir para garantizar la determinación objetiva del reajuste o la revisión de los precios.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Asimismo, en el cartel de licitación debe establecerse la forma de revisar precios y determinar reajustes, así como la referencia al reglamento, en cuanto al mecanismo de aplicación.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t>(Así reformado este último párrafo por el artículo 1º, inciso d), de la ley Nº 7612 de 22 de julio de 1996)</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24"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ARTICULO 19.- </w:t>
            </w:r>
            <w:r w:rsidRPr="0060552C">
              <w:rPr>
                <w:rFonts w:ascii="Arial" w:eastAsia="Times New Roman" w:hAnsi="Arial" w:cs="Arial"/>
                <w:i/>
                <w:iCs/>
                <w:sz w:val="24"/>
                <w:szCs w:val="24"/>
                <w:lang w:eastAsia="es-CR"/>
              </w:rPr>
              <w:t>(Anulado este artículo mediante resolución de la Sala Constitucional N° 6432-98 del 04 de setiembre de 1998.)</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2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segunda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t xml:space="preserve">Obligaciones de los contratistas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20.-</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Cumplimiento de lo pactado. Los contratistas están obligados a cumplir, cabalmente, con lo ofrecido en su propuesta y en cualquier manifestación formal documentada, que hayan aportado adicionalmente, en el curso del procedimiento o en la formalización del contrato. </w:t>
            </w:r>
            <w:r w:rsidRPr="0060552C">
              <w:rPr>
                <w:rFonts w:ascii="Arial" w:eastAsia="Times New Roman" w:hAnsi="Arial" w:cs="Arial"/>
                <w:sz w:val="24"/>
                <w:szCs w:val="24"/>
                <w:lang w:eastAsia="es-CR"/>
              </w:rPr>
              <w:br/>
            </w:r>
            <w:hyperlink r:id="rId2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21.-</w:t>
            </w:r>
            <w:r w:rsidRPr="0060552C">
              <w:rPr>
                <w:rFonts w:ascii="Arial" w:eastAsia="Times New Roman" w:hAnsi="Arial" w:cs="Arial"/>
                <w:b/>
                <w:bCs/>
                <w:sz w:val="24"/>
                <w:szCs w:val="24"/>
                <w:lang w:val="es-MX" w:eastAsia="es-CR"/>
              </w:rPr>
              <w:t>Verificación de procedimientos</w:t>
            </w:r>
            <w:r w:rsidRPr="0060552C">
              <w:rPr>
                <w:rFonts w:ascii="Arial" w:eastAsia="Times New Roman" w:hAnsi="Arial" w:cs="Arial"/>
                <w:sz w:val="24"/>
                <w:szCs w:val="24"/>
                <w:lang w:val="es-MX"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Es responsabilidad del contratista verificar la corrección del procedimiento de contratación administrativa, y la ejecución contractual.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virtud de esta obligación, para fundamentar gestiones resarcitorias, no podrá alegar desconocimiento del ordenamiento aplicable ni de las consecuencias de la conducta administrativa.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El Reglamento de esta Ley definirá los supuestos y la forma en que proceda indemnizar al contratista irregular. Asimismo, el funcionario que haya promovido una contratación irregular será sancionado conforme a lo previsto en el artículo 96 bis de esta Ley.</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adicionado el párrafo anterior mediante el artículo 3°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2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CAPITULO V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Prohibiciones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única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Artículo 22.-</w:t>
            </w:r>
            <w:r w:rsidRPr="0060552C">
              <w:rPr>
                <w:rFonts w:ascii="Arial" w:eastAsia="Times New Roman" w:hAnsi="Arial" w:cs="Arial"/>
                <w:b/>
                <w:bCs/>
                <w:sz w:val="24"/>
                <w:szCs w:val="24"/>
                <w:lang w:eastAsia="es-CR"/>
              </w:rPr>
              <w:t>Ámbito de aplicación</w:t>
            </w:r>
            <w:r w:rsidRPr="0060552C">
              <w:rPr>
                <w:rFonts w:ascii="Arial" w:eastAsia="Times New Roman" w:hAnsi="Arial" w:cs="Arial"/>
                <w:sz w:val="24"/>
                <w:szCs w:val="24"/>
                <w:lang w:eastAsia="es-CR"/>
              </w:rPr>
              <w:t xml:space="preserve">. La prohibición para contratar con la Administración se extiende a la participación en los procedimientos de contratación y a la fase de ejecución del respectivo contrato.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Existirá prohibición sobreviniente, cuando la causal respectiva se produzca después de iniciado el procedimiento de contratación y antes del acto de adjudicación. En tal caso, la oferta afectada por la prohibición no podrá ser adjudicada; se liberará al oferente de todo compromiso con la Administración y se le devolverá la respectiva garantía de participación.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Cuando la prohibición sobrevenga sobre un contratista favorecido con una adjudicación en firme, la entidad deberá velar con especial diligencia porque se ejecute bajo las condiciones pactadas, sin que puedan existir en su favor tratos distintos de los dados a otros contratistas en iguales condiciones.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El funcionario sujeto a la respectiva prohibición deberá abstenerse de participar, opinar o influir, en cualquier forma, en la ejecución del contrato.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El incumplimiento de esta obligación se reputará como falta grave en la prestación del servicio.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Existirá participación directa del funcionario cuando, por la índole de sus atribuciones, tenga la facultad jurídica de decidir, deliberar, opinar, asesorar o participar de cualquier otra forma en el proceso de selección y adjudicación de las ofertas, o en la etapa de fiscalización posterior, en la ejecución del contrato.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La participación indirecta existirá cuando por interpósita persona, física </w:t>
            </w:r>
            <w:r w:rsidRPr="0060552C">
              <w:rPr>
                <w:rFonts w:ascii="Arial" w:eastAsia="Times New Roman" w:hAnsi="Arial" w:cs="Arial"/>
                <w:sz w:val="24"/>
                <w:szCs w:val="24"/>
                <w:lang w:eastAsia="es-CR"/>
              </w:rPr>
              <w:lastRenderedPageBreak/>
              <w:t xml:space="preserve">o jurídica, se pretenda eludir el alcance de esta prohibición. Para demostrar ambas formas de participación se admitirá toda clase de prueba.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t xml:space="preserve">(Así reformado por el artículo 65 de la Ley N° 8422 Ley contra la Corrupción y el Enriquecimiento Ilícito en la Función Pública, de 6 de octubre de 2004). </w:t>
            </w:r>
          </w:p>
          <w:p w:rsidR="0060552C" w:rsidRPr="0060552C" w:rsidRDefault="0060552C" w:rsidP="0060552C">
            <w:pPr>
              <w:spacing w:before="100" w:beforeAutospacing="1"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  </w:t>
            </w:r>
            <w:r w:rsidRPr="0060552C">
              <w:rPr>
                <w:rFonts w:ascii="Arial" w:eastAsia="Times New Roman" w:hAnsi="Arial" w:cs="Arial"/>
                <w:sz w:val="24"/>
                <w:szCs w:val="24"/>
                <w:lang w:eastAsia="es-CR"/>
              </w:rPr>
              <w:br/>
            </w:r>
            <w:hyperlink r:id="rId2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Verdana" w:hAnsi="Arial" w:cs="Arial"/>
                <w:sz w:val="24"/>
                <w:szCs w:val="24"/>
                <w:lang w:val="es-MX" w:eastAsia="es-CR"/>
              </w:rPr>
              <w:t xml:space="preserve">Artículo 22 bis.-Alcance de la prohibición. En los procedimientos de contratación administrativa que promuevan las instituciones sometidas a esta Ley, tendrán prohibido participar como oferentes, en forma directa o indirecta, las siguientes personas: </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left="708"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a) El presidente y los vicepresidentes de la República, los ministros y los viceministros, los diputados a la Asamblea Legislativa, los magistrados propietarios de la Corte Suprema de Justicia y los del Tribunal Supremo de Elecciones, el contralor y el </w:t>
            </w:r>
            <w:proofErr w:type="spellStart"/>
            <w:r w:rsidRPr="0060552C">
              <w:rPr>
                <w:rFonts w:ascii="Arial" w:eastAsia="Times New Roman" w:hAnsi="Arial" w:cs="Arial"/>
                <w:sz w:val="24"/>
                <w:szCs w:val="24"/>
                <w:lang w:eastAsia="es-CR"/>
              </w:rPr>
              <w:t>subcontralor</w:t>
            </w:r>
            <w:proofErr w:type="spellEnd"/>
            <w:r w:rsidRPr="0060552C">
              <w:rPr>
                <w:rFonts w:ascii="Arial" w:eastAsia="Times New Roman" w:hAnsi="Arial" w:cs="Arial"/>
                <w:sz w:val="24"/>
                <w:szCs w:val="24"/>
                <w:lang w:eastAsia="es-CR"/>
              </w:rPr>
              <w:t xml:space="preserve"> generales de la República, el procurador general y el procurador general adjunto de la República, el defensor y el defensor adjunto de los habitantes, el tesorero y el subtesorero nacionales, así como el proveedor y el </w:t>
            </w:r>
            <w:proofErr w:type="spellStart"/>
            <w:r w:rsidRPr="0060552C">
              <w:rPr>
                <w:rFonts w:ascii="Arial" w:eastAsia="Times New Roman" w:hAnsi="Arial" w:cs="Arial"/>
                <w:sz w:val="24"/>
                <w:szCs w:val="24"/>
                <w:lang w:eastAsia="es-CR"/>
              </w:rPr>
              <w:t>subproveedor</w:t>
            </w:r>
            <w:proofErr w:type="spellEnd"/>
            <w:r w:rsidRPr="0060552C">
              <w:rPr>
                <w:rFonts w:ascii="Arial" w:eastAsia="Times New Roman" w:hAnsi="Arial" w:cs="Arial"/>
                <w:sz w:val="24"/>
                <w:szCs w:val="24"/>
                <w:lang w:eastAsia="es-CR"/>
              </w:rPr>
              <w:t xml:space="preserve"> nacionales. En los casos de puestos de elección popular, la prohibición comenzará a surtir efectos desde que el Tribunal Supremo de Elecciones declare oficialmente el resultado de las elecciones.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right="18"/>
              <w:jc w:val="both"/>
              <w:rPr>
                <w:rFonts w:ascii="Arial" w:eastAsia="Times New Roman" w:hAnsi="Arial" w:cs="Arial"/>
                <w:sz w:val="24"/>
                <w:szCs w:val="24"/>
                <w:lang w:eastAsia="es-CR"/>
              </w:rPr>
            </w:pPr>
            <w:r w:rsidRPr="0060552C">
              <w:rPr>
                <w:rFonts w:ascii="Arial" w:eastAsia="Verdana" w:hAnsi="Arial" w:cs="Arial"/>
                <w:sz w:val="24"/>
                <w:szCs w:val="24"/>
                <w:lang w:val="es-MX" w:eastAsia="es-CR"/>
              </w:rPr>
              <w:t>b) Con la propia entidad en la cual sirven, los miembros de junta directiva, los presidentes ejecutivos, los gerentes y los subgerentes, tanto de las instituciones descentralizadas como de las empresas públicas, los regidores propietarios y el alcalde municipal.</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 Los funcionarios de las proveedurías y de las asesorías legales, respecto de la entidad en la cual prestan sus servicios.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d) Los funcionarios públicos con influencia o poder de decisión, en cualquier etapa del procedimiento de contratación administrativa, incluso en su fiscalización posterior, en la etapa de ejecución o de construcción.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 entiende que existe injerencia o poder de decisión, cuando el funcionario respectivo, por la clase de funciones que desempeña o por el rango o jerarquía del puesto que sirve, pueda participar en la toma de decisiones o influir en ellas de cualquier manera.  Este supuesto abarca a quienes deben rendir dictámenes o informes técnicos, preparar o tramitar alguna de las fases del procedimiento de contratación, o fiscalizar la fase de ejecución. </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tabs>
                <w:tab w:val="left" w:pos="8820"/>
              </w:tabs>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Cuando exista duda de si el puesto desempeñado está afectado por injerencia o poder de decisión, antes de participar en el procedimiento de contratación administrativa, el interesado hará la consulta a la Contraloría General de la República y le remitirá todas las pruebas y la información del caso, según se disponga en el Reglamento de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e) Quienes funjan como asesores de cualquiera de los funcionarios afectados por prohibición, sean estos internos o externos, a título personal o sin ninguna clase de remuneración, respecto de la entidad para la cual presta sus servicios dicho funcionario.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t>f) Las personas jurídicas en cuyo capital social participe alguno de los funcionarios mencionados en los incisos anteriores, o quienes ejerzan puestos directivos o de representación. Para que la venta o cesión de la participación social respectiva pueda desafectar a la respectiva firma, deberá haber sido hecha al menos con seis meses de anticipación al nombramiento del funcionario respectivo y deberá tener fecha cierta por cualquiera de los medios que la legislación procesal civil permite. Toda venta o cesión posterior a esa fecha no desafectará a la persona jurídica de la prohibición para contratar, mientras dure el nombramiento que la origina.</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Para las sociedades cuyas acciones se encuentren inscritas en el Registro Nacional de Valores e Intermediarios de la Superintendencia General de Valores, tal prohibición aplicará cuando dicho funcionario controle el diez por ciento (10%) o más del total del capital suscrito de la sociedad. A este efecto la administración únicamente requerirá de la persona jurídica oferente una declaración jurada de que no se encuentra sujeta a ninguna de las causales de prohibición establecidas en este artículo.</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708" w:right="1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adicionado el párrafo anterior mediante el artículo 3° de la ley N° 8511 del 16 de mayo del 2006).</w:t>
            </w:r>
            <w:r w:rsidRPr="0060552C">
              <w:rPr>
                <w:rFonts w:ascii="Arial" w:eastAsia="Verdana" w:hAnsi="Arial" w:cs="Arial"/>
                <w:sz w:val="24"/>
                <w:szCs w:val="24"/>
                <w:lang w:val="es-MX"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g) Las personas jurídicas sin fines de lucro, tales como asociaciones, fundaciones y cooperativas, en las cuales las personas sujetas a prohibición figuren como directivos, fundadores, representantes, asesores o cualquier otro puesto con capacidad de decisión.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h) El cónyuge, el compañero o la compañera en la unión de hecho, de los funcionarios cubiertos por la prohibición, así como sus parientes por consanguinidad o afinidad hasta el tercer grado inclusive.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i) Las personas jurídicas en las cuales el cónyuge, el compañero, la compañera o los parientes indicados en el inciso anterior, sean titulares de más de un veinticinco por ciento (25%) del capital social o ejerzan algún puesto de dirección o representación.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j) Las personas físicas o jurídicas que hayan intervenido como asesoras en cualquier etapa del procedimiento de contratación, hayan participado en la elaboración de las especificaciones, los diseños y los planos respectivos, o deban participar en su fiscalización posterior, en la etapa de ejecución o construcción.  Esta prohibición no se aplicará en los supuestos en que se liciten conjuntamente el diseño y la construcción de la obra, las variantes alternativas respecto de las especificaciones o los planos suministrados por la Administración.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Las personas y organizaciones sujetas a una prohibición, mantendrán el impedimento hasta cumplidos seis meses desde el cese del motivo que le dio origen.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720"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De las prohibiciones anteriores se exceptúan los siguientes casos: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1416"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1. Que se trate de un proveedor único.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1416"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2. Que se trate de la actividad ordinaria del ente.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tabs>
                <w:tab w:val="left" w:pos="8820"/>
              </w:tabs>
              <w:spacing w:before="100" w:beforeAutospacing="1" w:after="100" w:afterAutospacing="1" w:line="240" w:lineRule="auto"/>
              <w:ind w:left="1416" w:right="1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3. Que exista un interés manifiesto de colaborar con la </w:t>
            </w:r>
            <w:r w:rsidRPr="0060552C">
              <w:rPr>
                <w:rFonts w:ascii="Arial" w:eastAsia="Times New Roman" w:hAnsi="Arial" w:cs="Arial"/>
                <w:sz w:val="24"/>
                <w:szCs w:val="24"/>
                <w:lang w:eastAsia="es-CR"/>
              </w:rPr>
              <w:lastRenderedPageBreak/>
              <w:t xml:space="preserve">Administración.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0" w:line="240" w:lineRule="auto"/>
              <w:ind w:firstLine="708"/>
              <w:jc w:val="both"/>
              <w:rPr>
                <w:rFonts w:ascii="Arial" w:eastAsia="Times New Roman" w:hAnsi="Arial" w:cs="Arial"/>
                <w:sz w:val="24"/>
                <w:szCs w:val="24"/>
                <w:lang w:eastAsia="es-CR"/>
              </w:rPr>
            </w:pPr>
            <w:r w:rsidRPr="0060552C">
              <w:rPr>
                <w:rFonts w:ascii="Arial" w:eastAsia="Times New Roman" w:hAnsi="Arial" w:cs="Arial"/>
                <w:i/>
                <w:iCs/>
                <w:sz w:val="24"/>
                <w:szCs w:val="24"/>
                <w:lang w:eastAsia="es-CR"/>
              </w:rPr>
              <w:t xml:space="preserve">(Así adicionado por el artículo 65 de la Ley N° 8422 Ley contra la Corrupción y el Enriquecimiento Ilícito en la Función Pública, de 6 de octubre de 2004).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  </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2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Artículo 23.-</w:t>
            </w:r>
            <w:r w:rsidRPr="0060552C">
              <w:rPr>
                <w:rFonts w:ascii="Arial" w:eastAsia="Times New Roman" w:hAnsi="Arial" w:cs="Arial"/>
                <w:b/>
                <w:bCs/>
                <w:sz w:val="24"/>
                <w:szCs w:val="24"/>
                <w:lang w:eastAsia="es-CR"/>
              </w:rPr>
              <w:t>Levantamiento de la incompatibilidad</w:t>
            </w:r>
            <w:r w:rsidRPr="0060552C">
              <w:rPr>
                <w:rFonts w:ascii="Arial" w:eastAsia="Times New Roman" w:hAnsi="Arial" w:cs="Arial"/>
                <w:sz w:val="24"/>
                <w:szCs w:val="24"/>
                <w:lang w:eastAsia="es-CR"/>
              </w:rPr>
              <w:t xml:space="preserve">. La prohibición expresada en los incisos h) e i) del artículo anterior, podrá levantarse en los siguientes casos: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a) Cuando se demuestre que la actividad comercial desplegada se ha ejercido por lo menos un año antes del nombramiento del funcionario que origina la prohibición.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b) En el caso de directivos o representantes de una persona jurídica, cuando demuestren que ocupan el puesto respectivo, por lo menos un año antes del nombramiento del funcionario que origina la prohibición.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 Cuando hayan transcurrido al menos seis meses desde que la participación social del pariente afectado fue cedida o traspasada, o de que este renunció al puesto o cargo de representación.  Mediante el trámite que se indicará reglamentariamente, la Contraloría General de la República acordará levantar la incompatibilidad.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t>(Así reformado por el artículo 65 de la Ley N° 8422 Ley contra la Corrupción y el Enriquecimiento Ilícito en la Función Pública, de 6 de octubre de 2004).</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br/>
            </w:r>
            <w:r w:rsidRPr="0060552C">
              <w:rPr>
                <w:rFonts w:ascii="Arial" w:eastAsia="Times New Roman" w:hAnsi="Arial" w:cs="Arial"/>
                <w:i/>
                <w:iCs/>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3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Artículo 24.-</w:t>
            </w:r>
            <w:r w:rsidRPr="0060552C">
              <w:rPr>
                <w:rFonts w:ascii="Arial" w:eastAsia="Times New Roman" w:hAnsi="Arial" w:cs="Arial"/>
                <w:b/>
                <w:bCs/>
                <w:sz w:val="24"/>
                <w:szCs w:val="24"/>
                <w:lang w:eastAsia="es-CR"/>
              </w:rPr>
              <w:t>Prohibición de influencias</w:t>
            </w:r>
            <w:r w:rsidRPr="0060552C">
              <w:rPr>
                <w:rFonts w:ascii="Arial" w:eastAsia="Times New Roman" w:hAnsi="Arial" w:cs="Arial"/>
                <w:sz w:val="24"/>
                <w:szCs w:val="24"/>
                <w:lang w:eastAsia="es-CR"/>
              </w:rPr>
              <w:t xml:space="preserve">. A las personas cubiertas por el régimen de prohibiciones se les prohíbe intervenir, directa o indirectamente, ante los funcionarios responsables de las etapas del procedimiento de selección del contratista, ejecución o fiscalización del contrato, en favor propio o de terceros.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t>(Así reformado por el artículo 65 de la Ley N° 8422 Ley contra la Corrupción y el Enriquecimiento Ilícito en la Función Pública, de 6 de octubre de 2004).</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br/>
            </w:r>
            <w:r w:rsidRPr="0060552C">
              <w:rPr>
                <w:rFonts w:ascii="Arial" w:eastAsia="Times New Roman" w:hAnsi="Arial" w:cs="Arial"/>
                <w:i/>
                <w:iCs/>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3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Artículo 25.-</w:t>
            </w:r>
            <w:r w:rsidRPr="0060552C">
              <w:rPr>
                <w:rFonts w:ascii="Arial" w:eastAsia="Times New Roman" w:hAnsi="Arial" w:cs="Arial"/>
                <w:b/>
                <w:bCs/>
                <w:sz w:val="24"/>
                <w:szCs w:val="24"/>
                <w:lang w:eastAsia="es-CR"/>
              </w:rPr>
              <w:t>Efectos del incumplimiento</w:t>
            </w:r>
            <w:r w:rsidRPr="0060552C">
              <w:rPr>
                <w:rFonts w:ascii="Arial" w:eastAsia="Times New Roman" w:hAnsi="Arial" w:cs="Arial"/>
                <w:sz w:val="24"/>
                <w:szCs w:val="24"/>
                <w:lang w:eastAsia="es-CR"/>
              </w:rPr>
              <w:t xml:space="preserve">. La violación del régimen de prohibiciones establecido en este capítulo, originará la nulidad absoluta del acto de adjudicación o del contrato recaídos en favor del inhibido, y podrá acarrear a la parte infractora las sanciones previstas en esta Ley.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t>(Así reformado por el artículo 65 de la Ley N° 8422 Ley contra la Corrupción y el Enriquecimiento Ilícito en la Función Pública, de 6 de octubre de 2004).</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br/>
            </w:r>
            <w:r w:rsidRPr="0060552C">
              <w:rPr>
                <w:rFonts w:ascii="Arial" w:eastAsia="Times New Roman" w:hAnsi="Arial" w:cs="Arial"/>
                <w:i/>
                <w:iCs/>
                <w:sz w:val="24"/>
                <w:szCs w:val="24"/>
                <w:lang w:eastAsia="es-CR"/>
              </w:rPr>
              <w:br/>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t xml:space="preserve">  </w:t>
            </w:r>
            <w:r w:rsidRPr="0060552C">
              <w:rPr>
                <w:rFonts w:ascii="Arial" w:eastAsia="Times New Roman" w:hAnsi="Arial" w:cs="Arial"/>
                <w:sz w:val="24"/>
                <w:szCs w:val="24"/>
                <w:lang w:eastAsia="es-CR"/>
              </w:rPr>
              <w:br/>
            </w:r>
            <w:hyperlink r:id="rId3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26.-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Remisión reglamentaria. En el Reglamento se establecerán los mecanismos para verificar el cumplimiento fiel del régimen de prohibiciones, establecido en este capítulo. </w:t>
            </w:r>
            <w:r w:rsidRPr="0060552C">
              <w:rPr>
                <w:rFonts w:ascii="Arial" w:eastAsia="Times New Roman" w:hAnsi="Arial" w:cs="Arial"/>
                <w:sz w:val="24"/>
                <w:szCs w:val="24"/>
                <w:lang w:eastAsia="es-CR"/>
              </w:rPr>
              <w:br/>
            </w:r>
            <w:hyperlink r:id="rId33"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CAPITULO VI</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Procedimientos de contratación</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Sección primera</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Generalidades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27.-</w:t>
            </w:r>
            <w:r w:rsidRPr="0060552C">
              <w:rPr>
                <w:rFonts w:ascii="Arial" w:eastAsia="Times New Roman" w:hAnsi="Arial" w:cs="Arial"/>
                <w:b/>
                <w:bCs/>
                <w:sz w:val="24"/>
                <w:szCs w:val="24"/>
                <w:lang w:val="es-MX" w:eastAsia="es-CR"/>
              </w:rPr>
              <w:t>Determinación del procedimiento</w:t>
            </w:r>
            <w:r w:rsidRPr="0060552C">
              <w:rPr>
                <w:rFonts w:ascii="Arial" w:eastAsia="Times New Roman" w:hAnsi="Arial" w:cs="Arial"/>
                <w:sz w:val="24"/>
                <w:szCs w:val="24"/>
                <w:lang w:val="es-MX" w:eastAsia="es-CR"/>
              </w:rPr>
              <w:t xml:space="preserve">. Cuando la Ley no disponga de un procedimiento específico en función del tipo de contrato, el procedimiento se determinará de acuerdo con las </w:t>
            </w:r>
            <w:r w:rsidRPr="0060552C">
              <w:rPr>
                <w:rFonts w:ascii="Arial" w:eastAsia="Times New Roman" w:hAnsi="Arial" w:cs="Arial"/>
                <w:sz w:val="24"/>
                <w:szCs w:val="24"/>
                <w:lang w:val="es-MX" w:eastAsia="es-CR"/>
              </w:rPr>
              <w:lastRenderedPageBreak/>
              <w:t xml:space="preserve">siguientes pautas: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72" w:after="0"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a)  Las administraciones cuyo presupuesto autorizado para el período, específicamente lo contemplado para respaldar sus necesidades de contratar bienes y servicios no personales, sea superior a cincuenta mil setecientos millones de colones (¢50.700.000.000,00), utilizarán la licitación pública para las contrataciones iguales o superiores a trescientos cuatro millones de colones (¢304.000.000,00); la licitación abreviada, para las contrataciones menores a trescientos cuatro millones de colones (¢304.000.000,00) e iguales o superiores a cuarenta y dos millones trescientos mil colones (¢42.300.000,00), y la contratación directa, para las contrataciones inferiores a cuarenta y dos millones trescientos mil colones (¢42.300.000,00).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b)  Las administraciones cuyo presupuesto autorizado para el período, específicamente lo contemplado para respaldar sus necesidades de contratar bienes y servicios no personales, sea igual o inferior a cincuenta mil setecientos millones de colones (¢50.700.000.000,00), pero superior a treinta y tres mil ochocientos millones de colones (¢33.800.000.000,00), utilizarán la licitación pública para las contrataciones iguales o superiores a doscientos sesenta y dos millones de colones (¢262.000.000,00); la licitación abreviada, para las contrataciones menores a doscientos sesenta y dos millones de colones (¢262.000.000,00) e iguales o superiores a trece millones ciento veinte mil colones (¢13.120.000,00), y la contratación directa, para las contrataciones inferiores a trece millones ciento veinte mil colones (¢13.120.000,00).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c)  Las administraciones cuyo presupuesto autorizado para el período, específicamente lo contemplado para respaldar sus necesidades de contratar bienes y servicios no personales, sea igual o inferior a treinta y tres mil ochocientos millones de colones (¢33.800.000.000,00), pero superior a dieciséis mil novecientos millones de colones (¢16.900.000.000,00), utilizarán la licitación pública para las contrataciones iguales o superiores a ciento ochenta y cuatro millones de colones (¢184.000.000,00); la licitación abreviada, para las contrataciones menores a ciento </w:t>
            </w:r>
            <w:r w:rsidRPr="0060552C">
              <w:rPr>
                <w:rFonts w:ascii="Arial" w:eastAsia="Times New Roman" w:hAnsi="Arial" w:cs="Arial"/>
                <w:sz w:val="24"/>
                <w:szCs w:val="24"/>
                <w:lang w:val="es-ES_tradnl" w:eastAsia="es-CR"/>
              </w:rPr>
              <w:lastRenderedPageBreak/>
              <w:t xml:space="preserve">ochenta y cuatro millones de colones (¢184.000.000,00) e iguales o superiores a once millones ochocientos diez mil colones (¢11.810.000,00), y la contratación directa, para las contrataciones inferiores a once millones ochocientos diez mil colones (¢11.810.000,00).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d)  Las administraciones cuyo presupuesto autorizado para el período, específicamente lo contemplado para respaldar sus necesidades de contratar bienes y servicios no personales, sea igual o inferior a dieciséis mil novecientos millones de colones (¢16.900.000.000,00), pero superior a ocho mil cuatrocientos cincuenta millones de colones (¢8.450.000.000,00), utilizarán la licitación pública para las contrataciones iguales o superiores a ciento treinta y un millones doscientos mil colones (¢131.200.000,00); la licitación abreviada, para las contrataciones menores a ciento treinta y un millones doscientos mil colones (¢131.200.000,00) e iguales o superiores a diez millones quinientos mil colones (¢10.500.000,00), y la contratación directa, para las contrataciones inferiores a diez millones quinientos mil colones (¢10.500.000,00).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e)  Las administraciones cuyo presupuesto autorizado para el período, específicamente lo contemplado para respaldar sus necesidades de contratar bienes y servicios no personales, sea igual o inferior a ocho mil cuatrocientos cincuenta millones de colones (¢8.450.000.000,00), pero superior a mil seiscientos noventa millones de colones (¢1.690.000.000,00), utilizarán la licitación pública para las contrataciones iguales o superiores a noventa y un millones ochocientos mil colones (¢91.800.000,00); la licitación abreviada, para las contrataciones menores a noventa y un millones ochocientos mil colones (¢91.800.000,00) e iguales o superiores a nueve millones ciento ochenta mil colones (¢9.180.000,00), y la contratación directa, para las contrataciones inferiores a nueve millones ciento ochenta mil colones (¢9.180.000,00).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f)   Las administraciones cuyo presupuesto autorizado para el período, específicamente lo contemplado para respaldar sus </w:t>
            </w:r>
            <w:r w:rsidRPr="0060552C">
              <w:rPr>
                <w:rFonts w:ascii="Arial" w:eastAsia="Times New Roman" w:hAnsi="Arial" w:cs="Arial"/>
                <w:sz w:val="24"/>
                <w:szCs w:val="24"/>
                <w:lang w:val="es-ES_tradnl" w:eastAsia="es-CR"/>
              </w:rPr>
              <w:lastRenderedPageBreak/>
              <w:t xml:space="preserve">necesidades de contratar bienes y servicios no personales, sea igual o inferior a mil seiscientos noventa millones de colones (¢1.690.000.000,00), pero superior a ochocientos cuarenta y cinco millones de colones (¢845.000.000,00), utilizarán la licitación pública para las contrataciones iguales o superiores a setenta y ocho millones setecientos mil colones (¢78.700.000,00); la licitación abreviada, para las contrataciones menores a setenta y ocho millones setecientos mil colones (¢78.700.000,00) e iguales o superiores a siete millones ochocientos setenta mil colones (¢7.870.000,00), y la contratación directa, para las contrataciones inferiores a siete millones ochocientos setenta mil colones (¢7.870.000,00).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g)  Las administraciones cuyo presupuesto autorizado para el período, específicamente lo contemplado para respaldar sus necesidades de contratar bienes y servicios no personales, sea igual o inferior a ochocientos cuarenta y cinco millones de colones (¢845.000.000,00), pero superior a quinientos siete millones de colones (¢507.000.000,00), utilizarán la licitación pública para las contrataciones iguales o superiores a cincuenta y dos millones quinientos mil colones (¢52.500.000,00); la licitación abreviada, para las contrataciones menores a cincuenta y dos millones quinientos mil colones (¢52.500.000,00) e iguales o superiores a seis millones quinientos sesenta mil colones (¢6.560.000,00), y la contratación directa, para las contrataciones inferiores a seis millones quinientos sesenta mil colones (¢6.560.000,00).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h)  Las administraciones cuyo presupuesto autorizado para el período, específicamente lo contemplado para respaldar sus necesidades de contratar bienes y servicios no personales, sea igual o inferior a quinientos siete millones de colones (¢507.000.000,00), pero superior a ciento sesenta y nueve millones de colones (¢169.000.000,00), utilizarán la licitación pública para las contrataciones iguales o superiores a treinta y nueve millones cuatrocientos mil colones (¢39.400.000,00); la licitación abreviada, para las contrataciones menores a treinta y nueve millones cuatrocientos mil colones (¢39.400.000,00), e iguales o superiores a tres millones novecientos cuarenta mil colones (¢3.940.000,00) y la contratación directa, para las contrataciones inferiores a tres millones novecientos cuarenta mil </w:t>
            </w:r>
            <w:r w:rsidRPr="0060552C">
              <w:rPr>
                <w:rFonts w:ascii="Arial" w:eastAsia="Times New Roman" w:hAnsi="Arial" w:cs="Arial"/>
                <w:sz w:val="24"/>
                <w:szCs w:val="24"/>
                <w:lang w:val="es-ES_tradnl" w:eastAsia="es-CR"/>
              </w:rPr>
              <w:lastRenderedPageBreak/>
              <w:t xml:space="preserve">colones (¢3.940.000,00).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i)   Las administraciones cuyo presupuesto autorizado para el período, específicamente lo contemplado para respaldar sus necesidades de contratar bienes y servicios no personales, sea igual o inferior a ciento sesenta y nueve millones de colones (¢169.000.000,00), pero superior a cincuenta millones setecientos mil colones (¢50.700.000,00), utilizarán la licitación pública para las contrataciones iguales o superiores a veintiséis millones doscientos mil colones (¢26.200.000,00); la licitación abreviada, para las contrataciones menores a veintiséis millones doscientos mil colones (¢26.200.000,00) e iguales o superiores a dos millones seiscientos veinte mil colones (¢2.620.000,00), y la contratación directa, para las contrataciones inferiores a dos millones seiscientos veinte mil colones (¢2.620.000,00).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j)   Las administraciones cuyo presupuesto autorizado para el período, específicamente lo contemplado para respaldar sus necesidades de contratar bienes y servicios no personales, sea igual o inferior a cincuenta millones setecientos mil colones (¢50.700.000,00), utilizarán la licitación pública para las contrataciones iguales o superiores a trece millones ciento veinte mil colones (¢13.120.000,00); la licitación abreviada, para las contrataciones menores a trece millones ciento veinte mil colones (¢13.120.000,00) e iguales o superiores a un millón trescientos mil colones (¢1.300.000,00), y la contratación directa, para las contrataciones inferiores a un millón trescientos mil colones (¢1.300.000,00).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 xml:space="preserve">(Los límites económicos establecidos en los incisos del a) al j) fueron modificados por resolución de la Contraloría General de la República N° </w:t>
            </w:r>
            <w:r w:rsidRPr="0060552C">
              <w:rPr>
                <w:rFonts w:ascii="Arial" w:eastAsia="Times New Roman" w:hAnsi="Arial" w:cs="Arial"/>
                <w:i/>
                <w:iCs/>
                <w:sz w:val="24"/>
                <w:szCs w:val="24"/>
                <w:lang w:val="es-ES" w:eastAsia="es-CR"/>
              </w:rPr>
              <w:t xml:space="preserve">R-DC-19-2015 del 19 de febrero del 2015, dicha modificación no está incluida en este texto, por lo que  puede ser consultado </w:t>
            </w:r>
            <w:hyperlink r:id="rId34" w:history="1">
              <w:r w:rsidRPr="0060552C">
                <w:rPr>
                  <w:rFonts w:ascii="Arial" w:eastAsia="Times New Roman" w:hAnsi="Arial" w:cs="Arial"/>
                  <w:i/>
                  <w:iCs/>
                  <w:color w:val="0000FF"/>
                  <w:sz w:val="24"/>
                  <w:szCs w:val="24"/>
                  <w:u w:val="single"/>
                  <w:lang w:val="es-ES" w:eastAsia="es-CR"/>
                </w:rPr>
                <w:t>aquí</w:t>
              </w:r>
            </w:hyperlink>
            <w:r w:rsidRPr="0060552C">
              <w:rPr>
                <w:rFonts w:ascii="Arial" w:eastAsia="Times New Roman" w:hAnsi="Arial" w:cs="Arial"/>
                <w:i/>
                <w:iCs/>
                <w:sz w:val="24"/>
                <w:szCs w:val="24"/>
                <w:lang w:val="es-ES" w:eastAsia="es-CR"/>
              </w:rPr>
              <w:t xml:space="preserve"> )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20"/>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 </w:t>
            </w:r>
            <w:r w:rsidRPr="0060552C">
              <w:rPr>
                <w:rFonts w:ascii="Arial" w:eastAsia="Times New Roman" w:hAnsi="Arial" w:cs="Arial"/>
                <w:sz w:val="24"/>
                <w:szCs w:val="24"/>
                <w:lang w:val="es-MX" w:eastAsia="es-CR"/>
              </w:rPr>
              <w:t xml:space="preserve">La Contraloría General de la República se encargará de elaborar y enviar una lista con el nombre de cada </w:t>
            </w:r>
            <w:r w:rsidRPr="0060552C">
              <w:rPr>
                <w:rFonts w:ascii="Arial" w:eastAsia="Times New Roman" w:hAnsi="Arial" w:cs="Arial"/>
                <w:sz w:val="24"/>
                <w:szCs w:val="24"/>
                <w:lang w:val="es-MX" w:eastAsia="es-CR"/>
              </w:rPr>
              <w:lastRenderedPageBreak/>
              <w:t xml:space="preserve">administración, así como el monto de su presupuesto autorizado para respaldar la contratación de bienes y servicios no personales, con el fin de que se publique en </w:t>
            </w:r>
            <w:r w:rsidRPr="0060552C">
              <w:rPr>
                <w:rFonts w:ascii="Arial" w:eastAsia="Times New Roman" w:hAnsi="Arial" w:cs="Arial"/>
                <w:i/>
                <w:iCs/>
                <w:sz w:val="24"/>
                <w:szCs w:val="24"/>
                <w:lang w:val="es-MX" w:eastAsia="es-CR"/>
              </w:rPr>
              <w:t>La</w:t>
            </w:r>
            <w:r w:rsidRPr="0060552C">
              <w:rPr>
                <w:rFonts w:ascii="Arial" w:eastAsia="Times New Roman" w:hAnsi="Arial" w:cs="Arial"/>
                <w:sz w:val="24"/>
                <w:szCs w:val="24"/>
                <w:lang w:val="es-MX" w:eastAsia="es-CR"/>
              </w:rPr>
              <w:t xml:space="preserve"> </w:t>
            </w:r>
            <w:r w:rsidRPr="0060552C">
              <w:rPr>
                <w:rFonts w:ascii="Arial" w:eastAsia="Times New Roman" w:hAnsi="Arial" w:cs="Arial"/>
                <w:i/>
                <w:iCs/>
                <w:sz w:val="24"/>
                <w:szCs w:val="24"/>
                <w:lang w:val="es-MX" w:eastAsia="es-CR"/>
              </w:rPr>
              <w:t>Gaceta</w:t>
            </w:r>
            <w:r w:rsidRPr="0060552C">
              <w:rPr>
                <w:rFonts w:ascii="Arial" w:eastAsia="Times New Roman" w:hAnsi="Arial" w:cs="Arial"/>
                <w:sz w:val="24"/>
                <w:szCs w:val="24"/>
                <w:lang w:val="es-MX" w:eastAsia="es-CR"/>
              </w:rPr>
              <w:t xml:space="preserve">, a más tardar en la segunda quincena de febrero de cada año.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Para establecer dicho monto, deberá considerarse el promedio de las sumas presupuestadas tanto en el período vigente como en los dos períodos anteriores, en lo relativo a las partidas para respaldar las necesidades de contratar bienes y servicios no personales.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Los ministerios y los órganos que haya desconcentrado sus servicios de proveeduría, se considerarán unidades separadas, para los efectos de la clasificación correspondiente.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todo caso, la Dirección General de Administración de Bienes y Contratación Administrativa se clasificará de acuerdo con el monto que arroje la suma de los presupuestos para respaldar las necesidades de contratar bienes y servicios no personales de los ministerios cuya actividad contractual sea desarrollada por dicha entidad.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Las sumas establecidas en este artículo se ajustarán cada año, tomando como referencia, entre otros, la variación porcentual del Índice general de precios al consumidor. A más tardar en la segunda quincena de febrero de cada año, la Contraloría General de la República dictará una resolución que incorpore los incrementos y especifique los parámetros vigentes para cada órgano y cada ente comprendidos en esta Ley.</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reformado mediante el artículo 1° de la ley N° 8511 del 16 de mayo del 2006)</w:t>
            </w:r>
            <w:r w:rsidRPr="0060552C">
              <w:rPr>
                <w:rFonts w:ascii="Arial" w:eastAsia="Times New Roman" w:hAnsi="Arial" w:cs="Arial"/>
                <w:sz w:val="24"/>
                <w:szCs w:val="24"/>
                <w:lang w:val="es-MX"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br/>
            </w:r>
            <w:hyperlink r:id="rId3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28.-</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Facultad para variar el procedimiento. La Administración podrá emplear procedimientos más calificados o rigurosos que el correspondiente, según el objeto o el monto del contrato, cuando convenga más a la satisfacción del fin público. </w:t>
            </w:r>
            <w:r w:rsidRPr="0060552C">
              <w:rPr>
                <w:rFonts w:ascii="Arial" w:eastAsia="Times New Roman" w:hAnsi="Arial" w:cs="Arial"/>
                <w:sz w:val="24"/>
                <w:szCs w:val="24"/>
                <w:lang w:eastAsia="es-CR"/>
              </w:rPr>
              <w:br/>
            </w:r>
            <w:hyperlink r:id="rId3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29.-</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Motivación de la deserción. Cuando la Administración resuelva declarar desierto un procedimiento de contratación, deberá dejar constancia de los motivos de interés público para adoptar esa decisión. </w:t>
            </w:r>
            <w:r w:rsidRPr="0060552C">
              <w:rPr>
                <w:rFonts w:ascii="Arial" w:eastAsia="Times New Roman" w:hAnsi="Arial" w:cs="Arial"/>
                <w:sz w:val="24"/>
                <w:szCs w:val="24"/>
                <w:lang w:eastAsia="es-CR"/>
              </w:rPr>
              <w:br/>
            </w:r>
            <w:hyperlink r:id="rId3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30.-</w:t>
            </w:r>
            <w:r w:rsidRPr="0060552C">
              <w:rPr>
                <w:rFonts w:ascii="Arial" w:eastAsia="Times New Roman" w:hAnsi="Arial" w:cs="Arial"/>
                <w:b/>
                <w:bCs/>
                <w:sz w:val="24"/>
                <w:szCs w:val="24"/>
                <w:lang w:val="es-MX" w:eastAsia="es-CR"/>
              </w:rPr>
              <w:t>Modificación del procedimiento en licitación infructuosa</w:t>
            </w:r>
            <w:r w:rsidRPr="0060552C">
              <w:rPr>
                <w:rFonts w:ascii="Arial" w:eastAsia="Times New Roman" w:hAnsi="Arial" w:cs="Arial"/>
                <w:sz w:val="24"/>
                <w:szCs w:val="24"/>
                <w:lang w:val="es-MX" w:eastAsia="es-CR"/>
              </w:rPr>
              <w:t>. Si se produce una licitación pública infructuosa, la</w:t>
            </w:r>
            <w:r w:rsidRPr="0060552C">
              <w:rPr>
                <w:rFonts w:ascii="Arial" w:eastAsia="Times New Roman" w:hAnsi="Arial" w:cs="Arial"/>
                <w:b/>
                <w:bCs/>
                <w:sz w:val="24"/>
                <w:szCs w:val="24"/>
                <w:lang w:val="es-MX" w:eastAsia="es-CR"/>
              </w:rPr>
              <w:t xml:space="preserve"> </w:t>
            </w:r>
            <w:r w:rsidRPr="0060552C">
              <w:rPr>
                <w:rFonts w:ascii="Arial" w:eastAsia="Times New Roman" w:hAnsi="Arial" w:cs="Arial"/>
                <w:sz w:val="24"/>
                <w:szCs w:val="24"/>
                <w:lang w:val="es-MX" w:eastAsia="es-CR"/>
              </w:rPr>
              <w:t>administración podrá utilizar en el nuevo concurso el procedimiento de</w:t>
            </w:r>
            <w:r w:rsidRPr="0060552C">
              <w:rPr>
                <w:rFonts w:ascii="Arial" w:eastAsia="Times New Roman" w:hAnsi="Arial" w:cs="Arial"/>
                <w:b/>
                <w:bCs/>
                <w:sz w:val="24"/>
                <w:szCs w:val="24"/>
                <w:lang w:val="es-MX" w:eastAsia="es-CR"/>
              </w:rPr>
              <w:t xml:space="preserve"> </w:t>
            </w:r>
            <w:r w:rsidRPr="0060552C">
              <w:rPr>
                <w:rFonts w:ascii="Arial" w:eastAsia="Times New Roman" w:hAnsi="Arial" w:cs="Arial"/>
                <w:sz w:val="24"/>
                <w:szCs w:val="24"/>
                <w:lang w:val="es-MX" w:eastAsia="es-CR"/>
              </w:rPr>
              <w:t>licitación abreviada.</w:t>
            </w:r>
            <w:r w:rsidRPr="0060552C">
              <w:rPr>
                <w:rFonts w:ascii="Arial" w:eastAsia="Times New Roman" w:hAnsi="Arial" w:cs="Arial"/>
                <w:b/>
                <w:bCs/>
                <w:sz w:val="24"/>
                <w:szCs w:val="24"/>
                <w:lang w:val="es-MX"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Si una licitación abreviada resulta infructuosa, la administración podrá realizar una contratación directa.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los casos anteriormente citados, deberá mediar autorización de la Contraloría General de la República, órgano que dispondrá de un término de diez días hábiles para resolver, previa valoración de las circunstancias que concurrieron para que el negocio resultara infructuoso.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En el caso de un remate infructuoso, la administración podrá aplicar hasta dos rebajas a la base fijada por el avalúo respectivo, hasta en un veinticinco por ciento (25%) cada vez.</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w:t>
            </w:r>
          </w:p>
          <w:p w:rsidR="0060552C" w:rsidRPr="0060552C" w:rsidRDefault="0060552C" w:rsidP="0060552C">
            <w:pPr>
              <w:spacing w:before="100" w:beforeAutospacing="1"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3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31.-</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Estimación contractual. Para estimar la contratación, se tomará en cuenta el monto, en el momento de la convocatoria, de todas las formas de remuneración, incluyendo el costo principal, los fletes, los seguros, las comisiones, los intereses, los tributos, los derechos, las primas y cualquier otra suma que deba reembolsarse como consecuencia de la contratación. En las contrataciones de objeto continuo, sucesivo o periódico, celebradas por un plazo determinado, la estimación se calculará sobre el valor total del contrato durante su </w:t>
            </w:r>
            <w:r w:rsidRPr="0060552C">
              <w:rPr>
                <w:rFonts w:ascii="Arial" w:eastAsia="Times New Roman" w:hAnsi="Arial" w:cs="Arial"/>
                <w:sz w:val="24"/>
                <w:szCs w:val="24"/>
                <w:lang w:eastAsia="es-CR"/>
              </w:rPr>
              <w:lastRenderedPageBreak/>
              <w:t xml:space="preserve">vigencia. En los contratos por plazo indeterminado, con opción de compra, o sin ella, la estimación se efectuará sobre la base del pago mensual calculado, multiplicado por 48. Igual procedimiento se aplicará respecto de contratos para satisfacer servicios por períodos menores de cuatro años, cuando se establezcan o existan prórrogas facultativas que puedan superar ese límite. En caso de duda sobre si el plazo es indeterminado o no, se aplicará el método de cálculo dispuesto en este párrafo. Cuando las bases del concurso contengan cláusulas que permitan cotizar bienes o servicios opcionales o alternativos, la base para estimarlos será el valor total de la compra máxima permitida, incluidas las posibles compras optativas. </w:t>
            </w:r>
            <w:r w:rsidRPr="0060552C">
              <w:rPr>
                <w:rFonts w:ascii="Arial" w:eastAsia="Times New Roman" w:hAnsi="Arial" w:cs="Arial"/>
                <w:sz w:val="24"/>
                <w:szCs w:val="24"/>
                <w:lang w:eastAsia="es-CR"/>
              </w:rPr>
              <w:br/>
            </w:r>
            <w:hyperlink r:id="rId3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Artículo 32.- Validez, perfeccionamiento y formalización.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Será válido el contrato administrativo sustancialmente conforme al ordenamiento jurídico.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El acto firme de adjudicación y la constitución de la garantía de cumplimiento, cuando sea exigida </w:t>
            </w:r>
            <w:proofErr w:type="gramStart"/>
            <w:r w:rsidRPr="0060552C">
              <w:rPr>
                <w:rFonts w:ascii="Arial" w:eastAsia="Times New Roman" w:hAnsi="Arial" w:cs="Arial"/>
                <w:sz w:val="24"/>
                <w:szCs w:val="24"/>
                <w:lang w:val="es-MX" w:eastAsia="es-ES"/>
              </w:rPr>
              <w:t>perfeccionarán</w:t>
            </w:r>
            <w:proofErr w:type="gramEnd"/>
            <w:r w:rsidRPr="0060552C">
              <w:rPr>
                <w:rFonts w:ascii="Arial" w:eastAsia="Times New Roman" w:hAnsi="Arial" w:cs="Arial"/>
                <w:sz w:val="24"/>
                <w:szCs w:val="24"/>
                <w:lang w:val="es-MX" w:eastAsia="es-ES"/>
              </w:rPr>
              <w:t xml:space="preserve"> la relación contractual entre la Administración y el contratista.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Sólo se formalizarán, en escritura pública, las contrataciones administrativas inscribibles en el Registro Nacional y las que por ley tengan este requisito.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Los demás contratos administrativos se formalizarán en simple documento; a no ser que ello no sea imprescindible para el correcto entendimiento de los alcances de los derechos y las obligaciones contraídos por las partes, según se determinará reglamentariamente.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ES"/>
              </w:rPr>
              <w:t xml:space="preserve">(Corregido los dos párrafos anteriores por Fe de Erratas y publicada </w:t>
            </w:r>
            <w:r w:rsidRPr="0060552C">
              <w:rPr>
                <w:rFonts w:ascii="Arial" w:eastAsia="Times New Roman" w:hAnsi="Arial" w:cs="Arial"/>
                <w:i/>
                <w:iCs/>
                <w:sz w:val="24"/>
                <w:szCs w:val="24"/>
                <w:lang w:val="es-MX" w:eastAsia="es-ES"/>
              </w:rPr>
              <w:lastRenderedPageBreak/>
              <w:t>en La Gaceta" Nº 120 del  23 de junio de 1995)</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La administración estará facultada para </w:t>
            </w:r>
            <w:proofErr w:type="spellStart"/>
            <w:r w:rsidRPr="0060552C">
              <w:rPr>
                <w:rFonts w:ascii="Arial" w:eastAsia="Times New Roman" w:hAnsi="Arial" w:cs="Arial"/>
                <w:sz w:val="24"/>
                <w:szCs w:val="24"/>
                <w:lang w:val="es-MX" w:eastAsia="es-ES"/>
              </w:rPr>
              <w:t>readjudicar</w:t>
            </w:r>
            <w:proofErr w:type="spellEnd"/>
            <w:r w:rsidRPr="0060552C">
              <w:rPr>
                <w:rFonts w:ascii="Arial" w:eastAsia="Times New Roman" w:hAnsi="Arial" w:cs="Arial"/>
                <w:sz w:val="24"/>
                <w:szCs w:val="24"/>
                <w:lang w:val="es-MX" w:eastAsia="es-ES"/>
              </w:rPr>
              <w:t xml:space="preserve"> el negocio, en forma inmediata, cuando el adjudicatario no otorgue la garantía de cumplimiento a plena satisfacción o no comparezca a la formalización del contrato. En tales casos, acreditadas dichas circunstancias en el expediente, el acto de adjudicación inicial se considerará insubsistente, y la administración procederá a la </w:t>
            </w:r>
            <w:proofErr w:type="spellStart"/>
            <w:r w:rsidRPr="0060552C">
              <w:rPr>
                <w:rFonts w:ascii="Arial" w:eastAsia="Times New Roman" w:hAnsi="Arial" w:cs="Arial"/>
                <w:sz w:val="24"/>
                <w:szCs w:val="24"/>
                <w:lang w:val="es-MX" w:eastAsia="es-ES"/>
              </w:rPr>
              <w:t>readjudicación</w:t>
            </w:r>
            <w:proofErr w:type="spellEnd"/>
            <w:r w:rsidRPr="0060552C">
              <w:rPr>
                <w:rFonts w:ascii="Arial" w:eastAsia="Times New Roman" w:hAnsi="Arial" w:cs="Arial"/>
                <w:sz w:val="24"/>
                <w:szCs w:val="24"/>
                <w:lang w:val="es-MX" w:eastAsia="es-ES"/>
              </w:rPr>
              <w:t xml:space="preserve">, según el orden de calificación respectivo, en un plazo de veinte días hábiles, el cual podrá ser prorrogado hasta por diez días adicionales, siempre que en el expediente se acrediten las razones calificadas que así lo justifican.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sz w:val="24"/>
                <w:szCs w:val="24"/>
                <w:lang w:val="es-ES" w:eastAsia="es-ES"/>
              </w:rPr>
              <w:t>(Así adicionado el párrafo anterior por el artículo 3°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La Contraloría General de la República deberá resolver la solicitud de refrendo de los contratos, cuando este requisito proceda, dentro de un plazo de veinticinco días hábiles, cuando se trate de licitación pública, y de veinte días hábiles, en los casos restantes.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sz w:val="24"/>
                <w:szCs w:val="24"/>
                <w:lang w:val="es-ES" w:eastAsia="es-ES"/>
              </w:rPr>
              <w:t>(Así adicionado el párrafo anterior por el artículo 3°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 xml:space="preserve">La Administración deberá girar la orden de inicio, dentro del plazo fijado en el cartel y, a falta de estipulación especial, lo hará dentro de los quince días hábiles contados a partir de la notificación del refrendo o de la aprobación interna, según corresponda, salvo resolución motivada en la cual se resuelva extender el plazo por razones calificadas, resolución que deberá emitirse dentro del plazo inicial previsto.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sz w:val="24"/>
                <w:szCs w:val="24"/>
                <w:lang w:val="es-ES" w:eastAsia="es-ES"/>
              </w:rPr>
              <w:lastRenderedPageBreak/>
              <w:t>(Así adicionado el párrafo anterior por el artículo 3°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4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33.-</w:t>
            </w:r>
            <w:r w:rsidRPr="0060552C">
              <w:rPr>
                <w:rFonts w:ascii="Arial" w:eastAsia="Times New Roman" w:hAnsi="Arial" w:cs="Arial"/>
                <w:b/>
                <w:bCs/>
                <w:sz w:val="24"/>
                <w:szCs w:val="24"/>
                <w:lang w:val="es-MX" w:eastAsia="es-CR"/>
              </w:rPr>
              <w:t>Garantía de participación</w:t>
            </w:r>
            <w:r w:rsidRPr="0060552C">
              <w:rPr>
                <w:rFonts w:ascii="Arial" w:eastAsia="Times New Roman" w:hAnsi="Arial" w:cs="Arial"/>
                <w:sz w:val="24"/>
                <w:szCs w:val="24"/>
                <w:lang w:val="es-MX" w:eastAsia="es-CR"/>
              </w:rPr>
              <w:t xml:space="preserve">. La administración estará facultada para solicitar, a los oferentes, una garantía de participación entre un uno por ciento (1%) y un cinco por ciento (5%) del monto de la propuesta, el cual se definirá en el respectivo cartel o pliego de condiciones, de acuerdo con la complejidad del contrato.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En los casos en que la administración decida no solicitar la garantía de participación y un oferente retire su propuesta, se procederá conforme a lo previsto en los artículos 99 y 100 de esta Ley.</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4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34.-</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Garantía de cumplimiento. La Administración exigirá una garantía de cumplimiento, entre un cinco por ciento (5%) y un diez por ciento (10%) del monto de la contratación. Este monto se definirá en el cartel o en el pliego de condiciones respectivo, de acuerdo con la </w:t>
            </w:r>
            <w:r w:rsidRPr="0060552C">
              <w:rPr>
                <w:rFonts w:ascii="Arial" w:eastAsia="Times New Roman" w:hAnsi="Arial" w:cs="Arial"/>
                <w:sz w:val="24"/>
                <w:szCs w:val="24"/>
                <w:lang w:eastAsia="es-CR"/>
              </w:rPr>
              <w:lastRenderedPageBreak/>
              <w:t xml:space="preserve">complejidad del contrato, para asegurar el resarcimiento de cualquier daño eventual o perjuicio ocasionado por el adjudicatario. La garantía se ejecutará hasta por el monto necesario para resarcir, a la Administración, los daños y perjuicios imputables al contratista. Cuando exista cláusula penal por demora en la ejecución, la garantía no podrá ejecutarse con base en este motivo, salvo la negativa del contratista para cancelar los montos correspondientes por ese concepto. La ejecución de la garantía de cumplimiento no exime al contratista de indemnizar a la Administración por los daños y perjuicios que no cubre esa garantía. </w:t>
            </w:r>
            <w:r w:rsidRPr="0060552C">
              <w:rPr>
                <w:rFonts w:ascii="Arial" w:eastAsia="Times New Roman" w:hAnsi="Arial" w:cs="Arial"/>
                <w:sz w:val="24"/>
                <w:szCs w:val="24"/>
                <w:lang w:eastAsia="es-CR"/>
              </w:rPr>
              <w:br/>
            </w:r>
            <w:hyperlink r:id="rId4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35.-</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Prescripción de la responsabilidad del contratista. En cinco años, prescribirá la facultad de la Administración de reclamar, al contratista, la indemnización por daños y perjuicios, originada en el incumplimiento de sus obligaciones. Si se trata de obras públicas, el término para el reclamo indemnizatorio originado en vicios ocultos, será de diez años, contados a partir de la entrega de la obra. </w:t>
            </w:r>
            <w:r w:rsidRPr="0060552C">
              <w:rPr>
                <w:rFonts w:ascii="Arial" w:eastAsia="Times New Roman" w:hAnsi="Arial" w:cs="Arial"/>
                <w:sz w:val="24"/>
                <w:szCs w:val="24"/>
                <w:lang w:eastAsia="es-CR"/>
              </w:rPr>
              <w:br/>
            </w:r>
            <w:hyperlink r:id="rId43"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36.-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Límites de la cesión. Los derechos y las obligaciones del contratista no podrán cederse sin la autorización previa y expresa de la Administración contratante, por medio de acto debidamente razonado. Cuando la cesión corresponda a más de un cincuenta por ciento (50%) del objeto del contrato, se requerirá autorización previa de la Contraloría General de la República. En ningún caso la cesión procederá en contra de las prohibiciones establecidas en el artículo 22 de esta Ley. </w:t>
            </w:r>
            <w:r w:rsidRPr="0060552C">
              <w:rPr>
                <w:rFonts w:ascii="Arial" w:eastAsia="Times New Roman" w:hAnsi="Arial" w:cs="Arial"/>
                <w:sz w:val="24"/>
                <w:szCs w:val="24"/>
                <w:lang w:eastAsia="es-CR"/>
              </w:rPr>
              <w:br/>
            </w:r>
            <w:hyperlink r:id="rId44"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37.-</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Prohibición de fragmentar. La Administración no podrá fragmentar sus adquisiciones de bienes y servicios con el propósito de variar el procedimiento de contratación. </w:t>
            </w:r>
            <w:r w:rsidRPr="0060552C">
              <w:rPr>
                <w:rFonts w:ascii="Arial" w:eastAsia="Times New Roman" w:hAnsi="Arial" w:cs="Arial"/>
                <w:sz w:val="24"/>
                <w:szCs w:val="24"/>
                <w:lang w:eastAsia="es-CR"/>
              </w:rPr>
              <w:br/>
            </w:r>
            <w:hyperlink r:id="rId4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38.-</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Ofertas en consorcio. En los procedimientos de contratación, podrán participar distintos oferentes en consorcio, sin que ello implique crear una persona jurídica diferente. Para utilizar este mecanismo, será necesario acreditar, ante la Administración, la existencia de un acuerdo de consorcio, en el cual se regulen, por lo menos, las obligaciones entre las partes firmantes y los términos de su relación con la Administración que licita. Las partes del consorcio responderán, solidariamente, ante la Administración, por todas las consecuencias derivadas de su participación y de la participación del consorcio en los procedimientos de contratación o en su ejecución. </w:t>
            </w:r>
            <w:r w:rsidRPr="0060552C">
              <w:rPr>
                <w:rFonts w:ascii="Arial" w:eastAsia="Times New Roman" w:hAnsi="Arial" w:cs="Arial"/>
                <w:sz w:val="24"/>
                <w:szCs w:val="24"/>
                <w:lang w:eastAsia="es-CR"/>
              </w:rPr>
              <w:br/>
            </w:r>
            <w:hyperlink r:id="rId4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39.-</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Ofertas conjuntas. En las reglas del concurso, la Administración podrá </w:t>
            </w:r>
            <w:r w:rsidRPr="0060552C">
              <w:rPr>
                <w:rFonts w:ascii="Arial" w:eastAsia="Times New Roman" w:hAnsi="Arial" w:cs="Arial"/>
                <w:sz w:val="24"/>
                <w:szCs w:val="24"/>
                <w:lang w:eastAsia="es-CR"/>
              </w:rPr>
              <w:lastRenderedPageBreak/>
              <w:t xml:space="preserve">autorizar, que participen oferentes conjuntos cuando, por la naturaleza del bien o el servicio licitado, sea posible y conveniente para los intereses públicos que distintos componentes de la prestación sean brindados por diversas personas. En estos casos, los oferentes conjuntos deberán deslindar, con exactitud, el componente de la prestación a la cual se obligan dentro de la oferta global; en caso contrario, responderán solidariamente, ante la Administración, por todas las consecuencias de su participación en el procedimiento de contratación y su ejecución. </w:t>
            </w:r>
            <w:r w:rsidRPr="0060552C">
              <w:rPr>
                <w:rFonts w:ascii="Arial" w:eastAsia="Times New Roman" w:hAnsi="Arial" w:cs="Arial"/>
                <w:sz w:val="24"/>
                <w:szCs w:val="24"/>
                <w:lang w:eastAsia="es-CR"/>
              </w:rPr>
              <w:br/>
            </w:r>
            <w:hyperlink r:id="rId4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40.-</w:t>
            </w:r>
            <w:r w:rsidRPr="0060552C">
              <w:rPr>
                <w:rFonts w:ascii="Arial" w:eastAsia="Times New Roman" w:hAnsi="Arial" w:cs="Arial"/>
                <w:b/>
                <w:bCs/>
                <w:sz w:val="24"/>
                <w:szCs w:val="24"/>
                <w:lang w:val="es-MX" w:eastAsia="es-CR"/>
              </w:rPr>
              <w:t>Uso de medios electrónicos</w:t>
            </w:r>
            <w:r w:rsidRPr="0060552C">
              <w:rPr>
                <w:rFonts w:ascii="Arial" w:eastAsia="Times New Roman" w:hAnsi="Arial" w:cs="Arial"/>
                <w:sz w:val="24"/>
                <w:szCs w:val="24"/>
                <w:lang w:val="es-MX" w:eastAsia="es-CR"/>
              </w:rPr>
              <w:t xml:space="preserve">. Para realizar los actos previstos en esta Ley, la administración y los particulares podrán utilizar cualquier medio electrónico que garantice la integridad del documento y la identidad del emisor. Estos actos tendrán la misma validez y eficacia jurídica que los realizados por medios físicos.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En el Reglamento de esta Ley se definirán los actos susceptibles de transmitirse por medios electrónicos y sus formalidades.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4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segunda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t xml:space="preserve">Licitación pública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41.-</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Supuestos. La licitación pública es el procedimiento de contratación obligatorio en los siguientes casos: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a) En los supuestos previstos en el artículo 27 de esta Ley. b) En toda venta o enajenación de bienes, muebles o inmuebles, o en el arrendamiento de bienes públicos, salvo si se utiliza el procedimiento de remate. c) En los procedimientos de concesión de instalaciones públicas. </w:t>
            </w:r>
            <w:r w:rsidRPr="0060552C">
              <w:rPr>
                <w:rFonts w:ascii="Arial" w:eastAsia="Times New Roman" w:hAnsi="Arial" w:cs="Arial"/>
                <w:sz w:val="24"/>
                <w:szCs w:val="24"/>
                <w:lang w:eastAsia="es-CR"/>
              </w:rPr>
              <w:br/>
            </w:r>
            <w:hyperlink r:id="rId4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42.-</w:t>
            </w:r>
            <w:r w:rsidRPr="0060552C">
              <w:rPr>
                <w:rFonts w:ascii="Arial" w:eastAsia="Times New Roman" w:hAnsi="Arial" w:cs="Arial"/>
                <w:b/>
                <w:bCs/>
                <w:sz w:val="24"/>
                <w:szCs w:val="24"/>
                <w:lang w:val="es-MX" w:eastAsia="es-CR"/>
              </w:rPr>
              <w:t>Estructura mínima</w:t>
            </w:r>
            <w:r w:rsidRPr="0060552C">
              <w:rPr>
                <w:rFonts w:ascii="Arial" w:eastAsia="Times New Roman" w:hAnsi="Arial" w:cs="Arial"/>
                <w:sz w:val="24"/>
                <w:szCs w:val="24"/>
                <w:lang w:val="es-MX" w:eastAsia="es-CR"/>
              </w:rPr>
              <w:t xml:space="preserve">. El procedimiento de licitación pública se desarrollará reglamentariamente, y se respetarán los siguientes criterios mínimos: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a) El cumplimiento de los requisitos previos de la contratación. Para tomar la decisión administrativa de promover el concurso, la administración deberá realizar los estudios suficientes que demuestren que los objetivos del proyecto de contratación serán alcanzados con eficiencia y seguridad razonables.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b) La preparación del cartel de licitación, con las condiciones generales así como las especificaciones técnicas, financieras y de calidad. La administración podrá celebrar audiencias con oferentes potenciales, a fin de recibir observaciones que permitan la más adecuada elaboración del pliego de condiciones; para ello, deberá hacer invitación pública y levantar un acta de las audiencias, todo lo cual deberá constar en el expediente.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c) El desarrollo, en el cartel, de un sistema de evaluación de las ofertas, orientado a que la administración escoja la oferta que satisfaga mejor el interés público. La administración deberá motivar en el expediente, la incorporación al sistema de evaluación de otros factores de calificación adicionales al precio, tales como plazo y calidad, entre otros, que en principio deberán regularse en cláusulas de requisitos de cumplimiento obligatorio.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d) La publicación, en </w:t>
            </w:r>
            <w:r w:rsidRPr="0060552C">
              <w:rPr>
                <w:rFonts w:ascii="Arial" w:eastAsia="Times New Roman" w:hAnsi="Arial" w:cs="Arial"/>
                <w:i/>
                <w:iCs/>
                <w:sz w:val="24"/>
                <w:szCs w:val="24"/>
                <w:lang w:val="es-MX" w:eastAsia="es-CR"/>
              </w:rPr>
              <w:t>La Gaceta</w:t>
            </w:r>
            <w:r w:rsidRPr="0060552C">
              <w:rPr>
                <w:rFonts w:ascii="Arial" w:eastAsia="Times New Roman" w:hAnsi="Arial" w:cs="Arial"/>
                <w:sz w:val="24"/>
                <w:szCs w:val="24"/>
                <w:lang w:val="es-MX" w:eastAsia="es-CR"/>
              </w:rPr>
              <w:t xml:space="preserve">, de la invitación a participar, así como de las modificaciones del cartel y del acto de adjudicación; para ello, la Imprenta Nacional estará obligada a hacer las publicaciones dentro de los tres días hábiles siguientes al recibo de la solicitud que le presente la administración. El incumplimiento de dicha obligación constituirá falta grave por parte del funcionario responsable. El director de la Imprenta deberá ordenar las medidas que garanticen el cumplimiento de esta disposición. Una vez publicado el aviso a concursar, la administración dispondrá únicamente de tres oportunidades para modificar de oficio el pliego de condiciones o para conferir prórrogas al plazo de recepción de las ofertas.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 La publicidad de todos los trámites del procedimiento y el acceso a todos los estudios técnicos, preparados por la administración o para ella, incluso los registros y las actas de las audiencias que se celebren de conformidad con el inciso b), de este artículo. En caso de que se utilicen medios electrónicos o sitios en Internet, deberán garantizarse la seguridad e integridad de la información. Por el mismo medio que se comunique la invitación, será comunicada la adjudicación.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f) El plazo mínimo para recibir ofertas será de quince días hábiles, contados desde el día siguiente de la publicación del aviso a participar y hasta el día de la apertura de las ofertas, inclusive.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g) La posibilidad de objetar el cartel cuando se considere que viola algunos de los principios generales o las disposiciones normativas que rigen la contratación, sin perjuicio de lo dispuesto en el segundo párrafo del artículo 82 de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h) La presunción del sometimiento pleno del oferente tanto al ordenamiento jurídico costarricense como a las reglas generales y particulares de la licitación.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i) La rendición de la garantía de cumplimiento. La garantía de participación deberá otorgarse en los casos en que la administración lo solicite, de conformidad con lo dispuesto en el artículo 33 de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j) La posibilidad de subsanar los defectos de las ofertas en el plazo que indique el Reglamento de esta Ley, siempre y cuando con ello no se conceda una ventaja indebida, en relación con los demás oferentes. Podrán ser objeto de subsanación, el plazo de vigencia de la oferta, así como el plazo de vigencia y el monto de la garantía de participación, cuando tales extremos no se hayan ofrecido por menos del ochenta por ciento (80%) de lo fijado en el cartel. Los demás extremos de la garantía de participación podrán ser objeto de subsanación, conforme lo que disponga el Reglamento.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k) La motivación del acto de adjudicación, el cual deberá ser dictado de conformidad con lo previsto en el artículo 42 bis de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 La posibilidad de recurrir el acto de adjudicación, en los términos señalados en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m) La obligación de </w:t>
            </w:r>
            <w:proofErr w:type="spellStart"/>
            <w:r w:rsidRPr="0060552C">
              <w:rPr>
                <w:rFonts w:ascii="Arial" w:eastAsia="Times New Roman" w:hAnsi="Arial" w:cs="Arial"/>
                <w:sz w:val="24"/>
                <w:szCs w:val="24"/>
                <w:lang w:val="es-MX" w:eastAsia="es-CR"/>
              </w:rPr>
              <w:t>readjudicar</w:t>
            </w:r>
            <w:proofErr w:type="spellEnd"/>
            <w:r w:rsidRPr="0060552C">
              <w:rPr>
                <w:rFonts w:ascii="Arial" w:eastAsia="Times New Roman" w:hAnsi="Arial" w:cs="Arial"/>
                <w:sz w:val="24"/>
                <w:szCs w:val="24"/>
                <w:lang w:val="es-MX" w:eastAsia="es-CR"/>
              </w:rPr>
              <w:t xml:space="preserve"> o declarar desierto el concurso cuando, por la interposición de recursos, se anule el acto de adjudicación; todo de conformidad con lo previsto en el artículo 42 bis de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eastAsia="es-CR"/>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n) La posibilidad de mejorar, dentro del concurso, los precios de las empresas elegibles. La aplicación de esta figura deberá darse dentro de un marco de transparencia e igualdad, según los mecanismos de aplicación objetiva que se regulen en cada cartel. El precio por considerar en el sistema de calificación, será el último que los respectivos oferentes propongan y, para acceder a esta posibilidad, no deben convertir sus precios en ruinosos o no remunerativos. La rebaja de precio, por su naturaleza, es aplicable a todo procedimiento concursal.</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sz w:val="24"/>
                <w:szCs w:val="24"/>
                <w:lang w:eastAsia="es-CR"/>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20"/>
              <w:rPr>
                <w:rFonts w:ascii="Arial" w:eastAsia="Times New Roman" w:hAnsi="Arial" w:cs="Arial"/>
                <w:sz w:val="24"/>
                <w:szCs w:val="24"/>
                <w:lang w:eastAsia="es-CR"/>
              </w:rPr>
            </w:pPr>
            <w:r w:rsidRPr="0060552C">
              <w:rPr>
                <w:rFonts w:ascii="Arial" w:eastAsia="Times New Roman" w:hAnsi="Arial" w:cs="Arial"/>
                <w:i/>
                <w:iCs/>
                <w:sz w:val="24"/>
                <w:szCs w:val="24"/>
                <w:lang w:val="es-ES_tradnl" w:eastAsia="es-CR"/>
              </w:rPr>
              <w:t>(Así adicionado el inciso anterior por el artículo 2° aparte a) de la ley N° 8701 del 13 de enero de 2009)</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lastRenderedPageBreak/>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5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42 bis.-</w:t>
            </w:r>
            <w:r w:rsidRPr="0060552C">
              <w:rPr>
                <w:rFonts w:ascii="Arial" w:eastAsia="Times New Roman" w:hAnsi="Arial" w:cs="Arial"/>
                <w:b/>
                <w:bCs/>
                <w:sz w:val="24"/>
                <w:szCs w:val="24"/>
                <w:lang w:val="es-MX" w:eastAsia="es-CR"/>
              </w:rPr>
              <w:t>Adjudicación</w:t>
            </w:r>
            <w:r w:rsidRPr="0060552C">
              <w:rPr>
                <w:rFonts w:ascii="Arial" w:eastAsia="Times New Roman" w:hAnsi="Arial" w:cs="Arial"/>
                <w:sz w:val="24"/>
                <w:szCs w:val="24"/>
                <w:lang w:val="es-MX" w:eastAsia="es-CR"/>
              </w:rPr>
              <w:t xml:space="preserve">. El acto de adjudicación deberá ser dictado dentro del plazo establecido en el cartel, que no podrá ser superior al doble del plazo fijado para recibir ofertas. Dicho plazo podrá ser prorrogado por un período igual y por una sola vez, mediante resolución motivada, en la cual se acrediten las razones de interés público que así lo justifiquen.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Vencido el plazo señalado en el párrafo anterior sin haberse dictado el acto de adjudicación, los oferentes tendrán derecho a dejar sin efecto su propuesta, así como a que se les devuelva la garantía de participación, sin que les resulte aplicable sanción alguna. Asimismo, los funcionarios responsables del no dictado oportuno del acto de adjudicación, estarán sujetos a las sanciones previstas en los artículos 96 y 96 bis de esta Ley, por incumplimiento general de plazos legales.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Para los efectos de la </w:t>
            </w:r>
            <w:proofErr w:type="spellStart"/>
            <w:r w:rsidRPr="0060552C">
              <w:rPr>
                <w:rFonts w:ascii="Arial" w:eastAsia="Times New Roman" w:hAnsi="Arial" w:cs="Arial"/>
                <w:sz w:val="24"/>
                <w:szCs w:val="24"/>
                <w:lang w:val="es-MX" w:eastAsia="es-CR"/>
              </w:rPr>
              <w:t>readjudicación</w:t>
            </w:r>
            <w:proofErr w:type="spellEnd"/>
            <w:r w:rsidRPr="0060552C">
              <w:rPr>
                <w:rFonts w:ascii="Arial" w:eastAsia="Times New Roman" w:hAnsi="Arial" w:cs="Arial"/>
                <w:sz w:val="24"/>
                <w:szCs w:val="24"/>
                <w:lang w:val="es-MX" w:eastAsia="es-CR"/>
              </w:rPr>
              <w:t xml:space="preserve"> o declaratoria de desierto del concurso, derivadas de la anulación del acto de adjudicación, la administración dispondrá de un plazo de un mes, contado a partir del día siguiente a la fecha de la notificación de la resolución respectiva, plazo que podrá ser prorrogado por un mes adicional, en los casos debidamente justificados mediante resolución motivada que deberá constar en el expediente. Vencido este plazo, los funcionarios responsables del no dictado oportuno del acto de adjudicación, estarán igualmente sujetos a las sanciones previstas en los artículos 96 y 96 bis de esta Ley, por incumplimiento general de plazos legales.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adicionado mediante el artículo 3°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5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43.-</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Licitación pública con publicación internacional. Cuando lo considere conveniente para los intereses públicos, o por haberlo acordado así con el ente público internacional que financia la contratación, la Administración además de efectuar la publicación ordinaria, podrá invitar a participar, mediante la publicación de un aviso en diarios extranjeros o por medio de comunicación a las legaciones comerciales acreditadas en el país. </w:t>
            </w:r>
            <w:r w:rsidRPr="0060552C">
              <w:rPr>
                <w:rFonts w:ascii="Arial" w:eastAsia="Times New Roman" w:hAnsi="Arial" w:cs="Arial"/>
                <w:sz w:val="24"/>
                <w:szCs w:val="24"/>
                <w:lang w:eastAsia="es-CR"/>
              </w:rPr>
              <w:br/>
            </w:r>
            <w:hyperlink r:id="rId5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b/>
                <w:sz w:val="24"/>
                <w:szCs w:val="24"/>
                <w:lang w:val="es-MX" w:eastAsia="es-ES"/>
              </w:rPr>
              <w:t>Sección tercera</w:t>
            </w:r>
            <w:r w:rsidRPr="0060552C">
              <w:rPr>
                <w:rFonts w:ascii="Arial" w:eastAsia="Times New Roman" w:hAnsi="Arial" w:cs="Arial"/>
                <w:b/>
                <w:sz w:val="24"/>
                <w:szCs w:val="24"/>
                <w:lang w:val="es-ES" w:eastAsia="es-ES"/>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b/>
                <w:sz w:val="24"/>
                <w:szCs w:val="24"/>
                <w:lang w:val="es-MX" w:eastAsia="es-ES"/>
              </w:rPr>
              <w:t>Licitación abreviada</w:t>
            </w:r>
            <w:r w:rsidRPr="0060552C">
              <w:rPr>
                <w:rFonts w:ascii="Arial" w:eastAsia="Times New Roman" w:hAnsi="Arial" w:cs="Arial"/>
                <w:i/>
                <w:sz w:val="24"/>
                <w:szCs w:val="24"/>
                <w:lang w:val="es-MX" w:eastAsia="es-ES"/>
              </w:rPr>
              <w:t>(*)</w:t>
            </w:r>
            <w:r w:rsidRPr="0060552C">
              <w:rPr>
                <w:rFonts w:ascii="Arial" w:eastAsia="Times New Roman" w:hAnsi="Arial" w:cs="Arial"/>
                <w:b/>
                <w:sz w:val="24"/>
                <w:szCs w:val="24"/>
                <w:lang w:val="es-MX" w:eastAsia="es-ES"/>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i/>
                <w:iCs/>
                <w:sz w:val="24"/>
                <w:szCs w:val="24"/>
                <w:lang w:val="es-MX" w:eastAsia="es-ES"/>
              </w:rPr>
              <w:t>(*)(Modificada su denominación por el artículo 2°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Artículo 44.-</w:t>
            </w:r>
            <w:r w:rsidRPr="0060552C">
              <w:rPr>
                <w:rFonts w:ascii="Arial" w:eastAsia="Times New Roman" w:hAnsi="Arial" w:cs="Arial"/>
                <w:bCs/>
                <w:sz w:val="24"/>
                <w:szCs w:val="24"/>
                <w:lang w:val="es-MX" w:eastAsia="es-ES"/>
              </w:rPr>
              <w:t>Supuestos</w:t>
            </w:r>
            <w:r w:rsidRPr="0060552C">
              <w:rPr>
                <w:rFonts w:ascii="Arial" w:eastAsia="Times New Roman" w:hAnsi="Arial" w:cs="Arial"/>
                <w:sz w:val="24"/>
                <w:szCs w:val="24"/>
                <w:lang w:val="es-MX" w:eastAsia="es-ES"/>
              </w:rPr>
              <w:t xml:space="preserve">. En los supuestos previstos en el Artículo 27 de esta Ley, la licitación abreviada será el procedimiento </w:t>
            </w:r>
            <w:r w:rsidRPr="0060552C">
              <w:rPr>
                <w:rFonts w:ascii="Arial" w:eastAsia="Times New Roman" w:hAnsi="Arial" w:cs="Arial"/>
                <w:sz w:val="24"/>
                <w:szCs w:val="24"/>
                <w:lang w:val="es-MX" w:eastAsia="es-ES"/>
              </w:rPr>
              <w:lastRenderedPageBreak/>
              <w:t>ordinario para contratar.</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ES"/>
              </w:rPr>
              <w:t>(Así reformado por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53"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45.-</w:t>
            </w:r>
            <w:r w:rsidRPr="0060552C">
              <w:rPr>
                <w:rFonts w:ascii="Arial" w:eastAsia="Times New Roman" w:hAnsi="Arial" w:cs="Arial"/>
                <w:b/>
                <w:bCs/>
                <w:sz w:val="24"/>
                <w:szCs w:val="24"/>
                <w:lang w:val="es-MX" w:eastAsia="es-CR"/>
              </w:rPr>
              <w:t>Estructura mínima</w:t>
            </w:r>
            <w:r w:rsidRPr="0060552C">
              <w:rPr>
                <w:rFonts w:ascii="Arial" w:eastAsia="Times New Roman" w:hAnsi="Arial" w:cs="Arial"/>
                <w:sz w:val="24"/>
                <w:szCs w:val="24"/>
                <w:lang w:val="es-MX" w:eastAsia="es-CR"/>
              </w:rPr>
              <w:t xml:space="preserve">. </w:t>
            </w:r>
            <w:r w:rsidRPr="0060552C">
              <w:rPr>
                <w:rFonts w:ascii="Arial" w:eastAsia="Times New Roman" w:hAnsi="Arial" w:cs="Arial"/>
                <w:sz w:val="24"/>
                <w:szCs w:val="24"/>
                <w:lang w:val="es-ES_tradnl" w:eastAsia="es-CR"/>
              </w:rPr>
              <w:t>En la licitación abreviada se invitará a participar a un mínimo de cinco proveedores del bien o servicio, acreditados en el registro correspondiente.</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Si el número de proveedores inscritos para el objeto de la contratación es inferior a cinco, la administración deberá cursar invitación mediante publicación en el Diario Oficial La Gaceta. La Administración también queda facultada, en cualquier otro caso, para cursar invitación mediante publicación en el Diario Oficial La </w:t>
            </w:r>
            <w:proofErr w:type="gramStart"/>
            <w:r w:rsidRPr="0060552C">
              <w:rPr>
                <w:rFonts w:ascii="Arial" w:eastAsia="Times New Roman" w:hAnsi="Arial" w:cs="Arial"/>
                <w:sz w:val="24"/>
                <w:szCs w:val="24"/>
                <w:lang w:val="es-ES_tradnl" w:eastAsia="es-CR"/>
              </w:rPr>
              <w:t>Gaceta ,</w:t>
            </w:r>
            <w:proofErr w:type="gramEnd"/>
            <w:r w:rsidRPr="0060552C">
              <w:rPr>
                <w:rFonts w:ascii="Arial" w:eastAsia="Times New Roman" w:hAnsi="Arial" w:cs="Arial"/>
                <w:sz w:val="24"/>
                <w:szCs w:val="24"/>
                <w:lang w:val="es-ES_tradnl" w:eastAsia="es-CR"/>
              </w:rPr>
              <w:t xml:space="preserve"> cuando así lo estime conveniente para la satisfacción del interés público.</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Independientemente de la forma o el medio de invitación, la administración está en la obligación de estudiar todas las ofertas presentadas a concurso. En los casos en los que se utilice un registro precalificado, podrán participar solamente las empresas que cumplan esa precalificación, antes de la apertura de las ofertas, independientemente de si han sido invitadas o no.</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El plazo para recibir ofertas no podrá ser inferior a cinco días hábiles ni superior a veinte, salvo en casos muy calificados en que la administración considere necesario ampliarlo hasta un máximo de diez días adicionales; para ello, deberá dejar constancia, en el expediente, </w:t>
            </w:r>
            <w:r w:rsidRPr="0060552C">
              <w:rPr>
                <w:rFonts w:ascii="Arial" w:eastAsia="Times New Roman" w:hAnsi="Arial" w:cs="Arial"/>
                <w:sz w:val="24"/>
                <w:szCs w:val="24"/>
                <w:lang w:val="es-ES_tradnl" w:eastAsia="es-CR"/>
              </w:rPr>
              <w:lastRenderedPageBreak/>
              <w:t>de las razones que lo justifican.</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El acto de adjudicación deberá dictarse dentro del plazo establecido en el cartel, el cual no podrá ser superior al doble del fijado para recibir ofertas. Este plazo podrá prorrogarse por un período igual y por una sola vez, siempre y cuando se acrediten razones de interés público para esa decisión. Vencido dicho plazo sin que se haya dictado el acto de adjudicación, los oferentes tendrán derecho a dejar sin efecto su propuesta y a que se les devuelva la garantía de participación, sin que les resulte aplicable sanción alguna. Asimismo, los funcionarios responsables de que el acto de adjudicación no se haya dictado oportunamente, estarán sujetos a las sanciones previstas en los artículos 96 y 96 bis de esta Ley, por incumplimiento general de plazos legales.</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Para lo no previsto en esta sección, el procedimiento de licitación abreviada se regirá por las disposiciones de la presente Ley para la licitación pública, en la medida en que sean compatibles con su naturaleza.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reformado por el artículo 1° aparte b) de la ley N° 8701 del 13 de enero de 2009)</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54"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46.-</w:t>
            </w:r>
            <w:r w:rsidRPr="0060552C">
              <w:rPr>
                <w:rFonts w:ascii="Arial" w:eastAsia="Times New Roman" w:hAnsi="Arial" w:cs="Arial"/>
                <w:b/>
                <w:bCs/>
                <w:sz w:val="24"/>
                <w:szCs w:val="24"/>
                <w:lang w:val="es-MX" w:eastAsia="es-CR"/>
              </w:rPr>
              <w:t>Registro</w:t>
            </w:r>
            <w:r w:rsidRPr="0060552C">
              <w:rPr>
                <w:rFonts w:ascii="Arial" w:eastAsia="Times New Roman" w:hAnsi="Arial" w:cs="Arial"/>
                <w:sz w:val="24"/>
                <w:szCs w:val="24"/>
                <w:lang w:val="es-MX" w:eastAsia="es-CR"/>
              </w:rPr>
              <w:t xml:space="preserve">. En cada proveeduría institucional, se llevará un registro de los proveedores interesados en contratar con la administración. Para tales efectos, la administración invitará, por lo menos una vez al año, mediante publicación en </w:t>
            </w:r>
            <w:r w:rsidRPr="0060552C">
              <w:rPr>
                <w:rFonts w:ascii="Arial" w:eastAsia="Times New Roman" w:hAnsi="Arial" w:cs="Arial"/>
                <w:i/>
                <w:iCs/>
                <w:sz w:val="24"/>
                <w:szCs w:val="24"/>
                <w:lang w:val="es-MX" w:eastAsia="es-CR"/>
              </w:rPr>
              <w:t>La Gaceta</w:t>
            </w:r>
            <w:r w:rsidRPr="0060552C">
              <w:rPr>
                <w:rFonts w:ascii="Arial" w:eastAsia="Times New Roman" w:hAnsi="Arial" w:cs="Arial"/>
                <w:sz w:val="24"/>
                <w:szCs w:val="24"/>
                <w:lang w:val="es-MX" w:eastAsia="es-CR"/>
              </w:rPr>
              <w:t xml:space="preserve">, a formar parte del registro de proveedores. No obstante, en cualquier momento los proveedores interesados podrán solicitar que se les incorpore al registro.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El Reglamento de esta Ley definirá las condiciones para la inscripción, su plazo de vigencia, así como sus reglas de funcionamiento, que deberán definir un esquema de rotación que permita la participación de los proveedores inscritos y el acceso de la administración a las mejores ofertas. En igual forma, reglamentariamente se regularán el procedimiento de exclusión del registro y su régimen recursivo.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el caso del Poder Ejecutivo, sus entes y órganos deberán utilizar el registro central a cargo de la Dirección General de Administración de Bienes y Contratación Administrativa.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las entidades descentralizadas que posean régimen desconcentrado de compras, deberá hacerse uso del registro del nivel central, salvo que la Junta Directiva autorice la creación de registros desconcentrados, para lo cual deberá emitir los lineamientos respectivos.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Las proveedurías institucionales podrán utilizar, por conveniencia o por inopia en sus propios registros, el registro de otras entidades públicas, incluso el registro citado de la Dirección General de Administración de Bienes y Contratación Administrativa.</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5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t xml:space="preserve">Sección cuarta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Licitación restringida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ARTICULO 47.</w:t>
            </w:r>
            <w:proofErr w:type="gramStart"/>
            <w:r w:rsidRPr="0060552C">
              <w:rPr>
                <w:rFonts w:ascii="Arial" w:eastAsia="Times New Roman" w:hAnsi="Arial" w:cs="Arial"/>
                <w:sz w:val="24"/>
                <w:szCs w:val="24"/>
                <w:lang w:eastAsia="es-CR"/>
              </w:rPr>
              <w:t>-</w:t>
            </w:r>
            <w:r w:rsidRPr="0060552C">
              <w:rPr>
                <w:rFonts w:ascii="Arial" w:eastAsia="Times New Roman" w:hAnsi="Arial" w:cs="Arial"/>
                <w:i/>
                <w:iCs/>
                <w:sz w:val="24"/>
                <w:szCs w:val="24"/>
                <w:lang w:eastAsia="es-CR"/>
              </w:rPr>
              <w:t>(</w:t>
            </w:r>
            <w:proofErr w:type="gramEnd"/>
            <w:r w:rsidRPr="0060552C">
              <w:rPr>
                <w:rFonts w:ascii="Arial" w:eastAsia="Times New Roman" w:hAnsi="Arial" w:cs="Arial"/>
                <w:i/>
                <w:iCs/>
                <w:sz w:val="24"/>
                <w:szCs w:val="24"/>
                <w:lang w:eastAsia="es-CR"/>
              </w:rPr>
              <w:t>Derogado mediante el artículo 4°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5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ARTICULO 48.</w:t>
            </w:r>
            <w:proofErr w:type="gramStart"/>
            <w:r w:rsidRPr="0060552C">
              <w:rPr>
                <w:rFonts w:ascii="Arial" w:eastAsia="Times New Roman" w:hAnsi="Arial" w:cs="Arial"/>
                <w:i/>
                <w:iCs/>
                <w:sz w:val="24"/>
                <w:szCs w:val="24"/>
                <w:lang w:eastAsia="es-CR"/>
              </w:rPr>
              <w:t>-(</w:t>
            </w:r>
            <w:proofErr w:type="gramEnd"/>
            <w:r w:rsidRPr="0060552C">
              <w:rPr>
                <w:rFonts w:ascii="Arial" w:eastAsia="Times New Roman" w:hAnsi="Arial" w:cs="Arial"/>
                <w:i/>
                <w:iCs/>
                <w:sz w:val="24"/>
                <w:szCs w:val="24"/>
                <w:lang w:eastAsia="es-CR"/>
              </w:rPr>
              <w:t>Derogado mediante el artículo 4°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5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quinta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Remate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49.-</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Supuestos. El procedimiento de remate podrá utilizarse para vender o arrendar bienes, muebles o inmuebles, cuando resulte el medio más </w:t>
            </w:r>
            <w:r w:rsidRPr="0060552C">
              <w:rPr>
                <w:rFonts w:ascii="Arial" w:eastAsia="Times New Roman" w:hAnsi="Arial" w:cs="Arial"/>
                <w:sz w:val="24"/>
                <w:szCs w:val="24"/>
                <w:lang w:eastAsia="es-CR"/>
              </w:rPr>
              <w:lastRenderedPageBreak/>
              <w:t xml:space="preserve">apropiado para satisfacer los intereses de la Administración. </w:t>
            </w:r>
            <w:r w:rsidRPr="0060552C">
              <w:rPr>
                <w:rFonts w:ascii="Arial" w:eastAsia="Times New Roman" w:hAnsi="Arial" w:cs="Arial"/>
                <w:sz w:val="24"/>
                <w:szCs w:val="24"/>
                <w:lang w:eastAsia="es-CR"/>
              </w:rPr>
              <w:br/>
            </w:r>
            <w:hyperlink r:id="rId5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Artículo</w:t>
            </w:r>
            <w:r w:rsidRPr="0060552C">
              <w:rPr>
                <w:rFonts w:ascii="Arial" w:eastAsia="Times New Roman" w:hAnsi="Arial" w:cs="Arial"/>
                <w:sz w:val="24"/>
                <w:szCs w:val="24"/>
                <w:lang w:val="es-ES" w:eastAsia="es-ES"/>
              </w:rPr>
              <w:t xml:space="preserve"> 50.-Procedimiento.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Para el remate, se seguirán los siguientes pasos: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a) Salvo en el remate infructuoso, la base no podrá ser inferior al monto del avalúo del órgano especializado de la Administración respectiva o, en su defecto, del avalúo de la Dirección General de la Tributación Directa.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b) La invitación indicará una lista de los bienes por rematar, la descripción de su naturaleza, su ubicación, el precio base;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proofErr w:type="gramStart"/>
            <w:r w:rsidRPr="0060552C">
              <w:rPr>
                <w:rFonts w:ascii="Arial" w:eastAsia="Times New Roman" w:hAnsi="Arial" w:cs="Arial"/>
                <w:sz w:val="24"/>
                <w:szCs w:val="24"/>
                <w:lang w:val="es-ES" w:eastAsia="es-ES"/>
              </w:rPr>
              <w:t>asimismo</w:t>
            </w:r>
            <w:proofErr w:type="gramEnd"/>
            <w:r w:rsidRPr="0060552C">
              <w:rPr>
                <w:rFonts w:ascii="Arial" w:eastAsia="Times New Roman" w:hAnsi="Arial" w:cs="Arial"/>
                <w:sz w:val="24"/>
                <w:szCs w:val="24"/>
                <w:lang w:val="es-ES" w:eastAsia="es-ES"/>
              </w:rPr>
              <w:t xml:space="preserve">, el lugar, la fecha y la hora del remate. Se publicará en el Diario Oficial y, facultativamente, en un diario de circulación nacional.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c) Los interesados tendrán la oportunidad de examinar los bienes objeto del remate.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d) Se designará a un funcionario responsable del procedimiento verbal del remate quien presidirá la diligencia.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e) Se adjudicará el bien a la persona que, en el acto, ofrezca el precio más alto.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f) Para perfeccionar la adjudicación, deberá entregarse inmediatamente a la Administración una garantía de cumplimiento del diez por ciento (10%) del valor del bien rematado.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g) El interesado dispondrá de tres días hábiles para cancelar el resto del precio; en caso contrario, perderá la garantía en favor de la Administración.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h) Concluido el remate, se levantará un acta en la cual se acrediten todas las incidencias. El funcionario responsable y el adjudicatario la firmarán.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5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lastRenderedPageBreak/>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sexta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Otras modalidades de contratación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51.-</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Modalidades. La Administración podrá incorporar, entre los procedimientos, las modalidades de precalificación, la adjudicación por subasta a la baja y licitación con financiamiento. </w:t>
            </w:r>
            <w:r w:rsidRPr="0060552C">
              <w:rPr>
                <w:rFonts w:ascii="Arial" w:eastAsia="Times New Roman" w:hAnsi="Arial" w:cs="Arial"/>
                <w:sz w:val="24"/>
                <w:szCs w:val="24"/>
                <w:lang w:eastAsia="es-CR"/>
              </w:rPr>
              <w:br/>
            </w:r>
            <w:hyperlink r:id="rId6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52.-</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Licitación con financiamiento. La Administración podrá utilizar la licitación con financiamiento cuando, dentro de las condiciones generales del concurso, requiera el otorgamiento, por cuenta o gestión del contratista, de una línea de crédito para respaldar los gastos derivados de la contratación. En esos supuestos, la exigencia de contenido presupuestario se reducirá a proveer fondos suficientes para enfrentar los pagos por amortización e intereses, gastos conexos derivados del financiamiento y a </w:t>
            </w:r>
            <w:proofErr w:type="spellStart"/>
            <w:r w:rsidRPr="0060552C">
              <w:rPr>
                <w:rFonts w:ascii="Arial" w:eastAsia="Times New Roman" w:hAnsi="Arial" w:cs="Arial"/>
                <w:sz w:val="24"/>
                <w:szCs w:val="24"/>
                <w:lang w:eastAsia="es-CR"/>
              </w:rPr>
              <w:t>preveer</w:t>
            </w:r>
            <w:proofErr w:type="spellEnd"/>
            <w:r w:rsidRPr="0060552C">
              <w:rPr>
                <w:rFonts w:ascii="Arial" w:eastAsia="Times New Roman" w:hAnsi="Arial" w:cs="Arial"/>
                <w:sz w:val="24"/>
                <w:szCs w:val="24"/>
                <w:lang w:eastAsia="es-CR"/>
              </w:rPr>
              <w:t xml:space="preserve"> la incorporación, en los futuros presupuestos, de las partidas necesarias para la atención del crédito. Antes de iniciar la licitación con financiamiento, la Administración deberá obtener las autorizaciones previstas en el ordenamiento jurídico para el endeudamiento y para el empleo de este mecanismo. Cuando por una licitación con financiamiento, se ofrezca a la Administración un empréstito que constituya una carga para el </w:t>
            </w:r>
            <w:r w:rsidRPr="0060552C">
              <w:rPr>
                <w:rFonts w:ascii="Arial" w:eastAsia="Times New Roman" w:hAnsi="Arial" w:cs="Arial"/>
                <w:sz w:val="24"/>
                <w:szCs w:val="24"/>
                <w:lang w:eastAsia="es-CR"/>
              </w:rPr>
              <w:lastRenderedPageBreak/>
              <w:t xml:space="preserve">Estado o que requiera su aval, serán imprescindibles, antes de iniciar la ejecución del objeto del contrato, la firma o el aval del Poder Ejecutivo y la aprobación legislativa a que se refiere el inciso 15) del artículo 121 de la Constitución Política. Si estos requisitos se incumplen la Administración no tendrá responsabilidad alguna. </w:t>
            </w:r>
            <w:r w:rsidRPr="0060552C">
              <w:rPr>
                <w:rFonts w:ascii="Arial" w:eastAsia="Times New Roman" w:hAnsi="Arial" w:cs="Arial"/>
                <w:sz w:val="24"/>
                <w:szCs w:val="24"/>
                <w:lang w:eastAsia="es-CR"/>
              </w:rPr>
              <w:br/>
            </w:r>
            <w:hyperlink r:id="rId6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53.-</w:t>
            </w:r>
            <w:r w:rsidRPr="0060552C">
              <w:rPr>
                <w:rFonts w:ascii="Arial" w:eastAsia="Times New Roman" w:hAnsi="Arial" w:cs="Arial"/>
                <w:b/>
                <w:bCs/>
                <w:sz w:val="24"/>
                <w:szCs w:val="24"/>
                <w:lang w:val="es-MX" w:eastAsia="es-CR"/>
              </w:rPr>
              <w:t>Precalificación.</w:t>
            </w:r>
            <w:r w:rsidRPr="0060552C">
              <w:rPr>
                <w:rFonts w:ascii="Arial" w:eastAsia="Times New Roman" w:hAnsi="Arial" w:cs="Arial"/>
                <w:sz w:val="24"/>
                <w:szCs w:val="24"/>
                <w:lang w:val="es-MX" w:eastAsia="es-CR"/>
              </w:rPr>
              <w:t xml:space="preserve"> Cuando lo considere favorable para el mejor escogimiento del contratista, la administración podrá promover una etapa de precalificación, como parte de la licitación pública o de la licitación abreviada, a fin de seleccionar previamente a los participantes, de acuerdo con sus condiciones particulares.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reformado el párrafo anterior mediante el artículo 1° de la ley N° 8511 del 16 de mayo del 2006).</w:t>
            </w:r>
            <w:r w:rsidRPr="0060552C">
              <w:rPr>
                <w:rFonts w:ascii="Arial" w:eastAsia="Times New Roman" w:hAnsi="Arial" w:cs="Arial"/>
                <w:sz w:val="24"/>
                <w:szCs w:val="24"/>
                <w:lang w:val="es-MX"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El cartel de precalificación indicará expresamente los factores por utilizar para el escogimiento y el valor asignado a cada factor. Se avisará el inicio del procedimiento mediante una publicación en el Diario Oficial.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El acuerdo de precalificación será motivado y tendrá recurso de apelación ante la Contraloría General de la República, cuando el monto probable de la contratación se encuentre en los supuestos del artículo 84 de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Cuando la estimación probable de la contratación sea inferior a esos montos, procederá el recurso de revocatoria ante el órgano que dictó la precalificación o el de apelación ante el jerarca, si él no dictó el acto.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firme el acto de precalificación, se continuará con el </w:t>
            </w:r>
            <w:r w:rsidRPr="0060552C">
              <w:rPr>
                <w:rFonts w:ascii="Arial" w:eastAsia="Times New Roman" w:hAnsi="Arial" w:cs="Arial"/>
                <w:sz w:val="24"/>
                <w:szCs w:val="24"/>
                <w:lang w:val="es-MX" w:eastAsia="es-CR"/>
              </w:rPr>
              <w:lastRenderedPageBreak/>
              <w:t xml:space="preserve">procedimiento y se invitará únicamente a las firmas precalificadas. La decisión administrativa en firme, en cuanto a la elegibilidad de las personas físicas o jurídicas precalificadas, no podrá variarse en la etapa siguiente del concurso.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La Administración podrá realizar una sola precalificación para varias licitaciones, cuando prevea que deberá efectuar varios concursos para adquirir bienes y servicios de la misma naturaleza. Las personas físicas o jurídicas, así precalificadas, podrán participar en una o más de las licitaciones previstas.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6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54.-</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Adjudicación por subasta a la baja. Cuando se requiera adquirir productos genéricos, la Administración podrá emplear la adjudicación por subasta a la baja. La reglamentación de este procedimiento deberá garantizar el respeto por los principios de la contratación administrativa y resguardar, especialmente, la transparencia de la negociación. </w:t>
            </w:r>
            <w:r w:rsidRPr="0060552C">
              <w:rPr>
                <w:rFonts w:ascii="Arial" w:eastAsia="Times New Roman" w:hAnsi="Arial" w:cs="Arial"/>
                <w:sz w:val="24"/>
                <w:szCs w:val="24"/>
                <w:lang w:eastAsia="es-CR"/>
              </w:rPr>
              <w:br/>
            </w:r>
            <w:hyperlink r:id="rId63"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CAPITULO VII</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lastRenderedPageBreak/>
              <w:t>Regulaciones especiales</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Sección primera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Generalidades</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55.-</w:t>
            </w:r>
            <w:r w:rsidRPr="0060552C">
              <w:rPr>
                <w:rFonts w:ascii="Arial" w:eastAsia="Times New Roman" w:hAnsi="Arial" w:cs="Arial"/>
                <w:b/>
                <w:bCs/>
                <w:sz w:val="24"/>
                <w:szCs w:val="24"/>
                <w:lang w:val="es-MX" w:eastAsia="es-CR"/>
              </w:rPr>
              <w:t>Tipos abiertos</w:t>
            </w:r>
            <w:r w:rsidRPr="0060552C">
              <w:rPr>
                <w:rFonts w:ascii="Arial" w:eastAsia="Times New Roman" w:hAnsi="Arial" w:cs="Arial"/>
                <w:sz w:val="24"/>
                <w:szCs w:val="24"/>
                <w:lang w:val="es-MX" w:eastAsia="es-CR"/>
              </w:rPr>
              <w:t xml:space="preserve">. Los tipos de contratación regulados en este capítulo no excluyen la posibilidad para que, mediante los Reglamentos de esta Ley, se defina cualquier otro tipo contractual que contribuya a satisfacer el interés general, dentro del marco general y los procedimientos ordinarios fijados en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Los Reglamentos que se emitan para tales efectos deberán ser consultados previamente a la Contraloría General de la República, a fin de que </w:t>
            </w:r>
            <w:proofErr w:type="spellStart"/>
            <w:r w:rsidRPr="0060552C">
              <w:rPr>
                <w:rFonts w:ascii="Arial" w:eastAsia="Times New Roman" w:hAnsi="Arial" w:cs="Arial"/>
                <w:sz w:val="24"/>
                <w:szCs w:val="24"/>
                <w:lang w:val="es-MX" w:eastAsia="es-CR"/>
              </w:rPr>
              <w:t>esta</w:t>
            </w:r>
            <w:proofErr w:type="spellEnd"/>
            <w:r w:rsidRPr="0060552C">
              <w:rPr>
                <w:rFonts w:ascii="Arial" w:eastAsia="Times New Roman" w:hAnsi="Arial" w:cs="Arial"/>
                <w:sz w:val="24"/>
                <w:szCs w:val="24"/>
                <w:lang w:val="es-MX" w:eastAsia="es-CR"/>
              </w:rPr>
              <w:t xml:space="preserve"> presente las recomendaciones que estime procedentes, en relación con los aspectos de su competencia. El dictamen del órgano contralor deberá emitirse en un plazo de quince días hábiles y sus recomendaciones no tendrán carácter vinculante.</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64"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56.-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lastRenderedPageBreak/>
              <w:br/>
              <w:t xml:space="preserve">Remisión reglamentaria. Las regulaciones contenidas en este capítulo son el marco de referencia básico, que se respetará al dictarse las diversas reglamentaciones de esta Ley. </w:t>
            </w:r>
            <w:r w:rsidRPr="0060552C">
              <w:rPr>
                <w:rFonts w:ascii="Arial" w:eastAsia="Times New Roman" w:hAnsi="Arial" w:cs="Arial"/>
                <w:sz w:val="24"/>
                <w:szCs w:val="24"/>
                <w:lang w:eastAsia="es-CR"/>
              </w:rPr>
              <w:br/>
            </w:r>
            <w:hyperlink r:id="rId6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Sección segunda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Obra pública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57.-</w:t>
            </w:r>
            <w:r w:rsidRPr="0060552C">
              <w:rPr>
                <w:rFonts w:ascii="Arial" w:eastAsia="Times New Roman" w:hAnsi="Arial" w:cs="Arial"/>
                <w:b/>
                <w:bCs/>
                <w:sz w:val="24"/>
                <w:szCs w:val="24"/>
                <w:lang w:val="es-MX" w:eastAsia="es-CR"/>
              </w:rPr>
              <w:t>Procedimiento aplicable</w:t>
            </w:r>
            <w:r w:rsidRPr="0060552C">
              <w:rPr>
                <w:rFonts w:ascii="Arial" w:eastAsia="Times New Roman" w:hAnsi="Arial" w:cs="Arial"/>
                <w:sz w:val="24"/>
                <w:szCs w:val="24"/>
                <w:lang w:val="es-MX" w:eastAsia="es-CR"/>
              </w:rPr>
              <w:t>. Las contrataciones de obra pública se efectuarán por licitación pública, licitación abreviada o contratación directa, según su monto.</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6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58.-</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Listado de subcontratación. Las empresas participantes en licitaciones de obra pública que deban subcontratar obras, maquinaria, equipo o materiales presentarán junto con la oferta, únicamente para calificar, un listado de subcontratación. En él, se indicarán los nombres de todas las empresas con las cuales se va a subcontratar; además, se aportará una certificación de los titulares del capital social y de los </w:t>
            </w:r>
            <w:r w:rsidRPr="0060552C">
              <w:rPr>
                <w:rFonts w:ascii="Arial" w:eastAsia="Times New Roman" w:hAnsi="Arial" w:cs="Arial"/>
                <w:sz w:val="24"/>
                <w:szCs w:val="24"/>
                <w:lang w:eastAsia="es-CR"/>
              </w:rPr>
              <w:lastRenderedPageBreak/>
              <w:t xml:space="preserve">representantes legales de las empresas. </w:t>
            </w:r>
            <w:r w:rsidRPr="0060552C">
              <w:rPr>
                <w:rFonts w:ascii="Arial" w:eastAsia="Times New Roman" w:hAnsi="Arial" w:cs="Arial"/>
                <w:sz w:val="24"/>
                <w:szCs w:val="24"/>
                <w:lang w:eastAsia="es-CR"/>
              </w:rPr>
              <w:br/>
            </w:r>
            <w:hyperlink r:id="rId6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59.-</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Estudio de impacto ambiental. El inicio del procedimiento de contratación de una obra pública siempre estará precedido, además de los requisitos establecidos en esta Ley y sus reglamentos, por un estudio de impacto ambiental que defina los efectos de la obra. Los proyectos incluirán las previsiones necesarias para preservar o restaurar las condiciones ambientales, cuando puedan deteriorarse. Asimismo, darán participación en los procedimientos a las entidades competentes en la materia. </w:t>
            </w:r>
            <w:r w:rsidRPr="0060552C">
              <w:rPr>
                <w:rFonts w:ascii="Arial" w:eastAsia="Times New Roman" w:hAnsi="Arial" w:cs="Arial"/>
                <w:sz w:val="24"/>
                <w:szCs w:val="24"/>
                <w:lang w:eastAsia="es-CR"/>
              </w:rPr>
              <w:br/>
            </w:r>
            <w:hyperlink r:id="rId6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60.-</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Riesgo del contratista. La ejecución del contrato de obra se realizará por cuenta y riesgo del contratista y la Administración no asumirá ante él más responsabilidades que las previstas en la contratación. </w:t>
            </w:r>
            <w:r w:rsidRPr="0060552C">
              <w:rPr>
                <w:rFonts w:ascii="Arial" w:eastAsia="Times New Roman" w:hAnsi="Arial" w:cs="Arial"/>
                <w:sz w:val="24"/>
                <w:szCs w:val="24"/>
                <w:lang w:eastAsia="es-CR"/>
              </w:rPr>
              <w:br/>
            </w:r>
            <w:hyperlink r:id="rId6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61.-</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Recibo de la obra. La Administración recibirá oficialmente las obras, después de contar con los estudios técnicos que acrediten el </w:t>
            </w:r>
            <w:r w:rsidRPr="0060552C">
              <w:rPr>
                <w:rFonts w:ascii="Arial" w:eastAsia="Times New Roman" w:hAnsi="Arial" w:cs="Arial"/>
                <w:sz w:val="24"/>
                <w:szCs w:val="24"/>
                <w:lang w:eastAsia="es-CR"/>
              </w:rPr>
              <w:lastRenderedPageBreak/>
              <w:t xml:space="preserve">cumplimiento de los términos de la contratación, lo cual hará constar en el expediente respectivo, sin perjuicio de las responsabilidades correspondientes a las partes, sus funcionarios o empleados, o a las empresas consultoras o inspectoras. El recibo de la obra se acreditará en un acta firmada por el responsable de la Administración y el contratista, en la cual se consignarán todas las circunstancias pertinentes. En caso de discrepar sobre las condiciones de la obra, la Administración podrá recibirla bajo protesta y así lo consignará en el acta de recibo. La discrepancia podrá resolverse mediante arbitraje, de conformidad con las regulaciones legales y los instrumentos de derecho internacional vigentes, sin perjuicio de las acciones legales que procedan. </w:t>
            </w:r>
            <w:r w:rsidRPr="0060552C">
              <w:rPr>
                <w:rFonts w:ascii="Arial" w:eastAsia="Times New Roman" w:hAnsi="Arial" w:cs="Arial"/>
                <w:sz w:val="24"/>
                <w:szCs w:val="24"/>
                <w:lang w:eastAsia="es-CR"/>
              </w:rPr>
              <w:br/>
            </w:r>
            <w:hyperlink r:id="rId7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62.-</w:t>
            </w:r>
            <w:r w:rsidRPr="0060552C">
              <w:rPr>
                <w:rFonts w:ascii="Arial" w:eastAsia="Times New Roman" w:hAnsi="Arial" w:cs="Arial"/>
                <w:b/>
                <w:bCs/>
                <w:sz w:val="24"/>
                <w:szCs w:val="24"/>
                <w:lang w:val="es-MX" w:eastAsia="es-CR"/>
              </w:rPr>
              <w:t>Límite de la subcontratación</w:t>
            </w:r>
            <w:r w:rsidRPr="0060552C">
              <w:rPr>
                <w:rFonts w:ascii="Arial" w:eastAsia="Times New Roman" w:hAnsi="Arial" w:cs="Arial"/>
                <w:sz w:val="24"/>
                <w:szCs w:val="24"/>
                <w:lang w:val="es-MX" w:eastAsia="es-CR"/>
              </w:rPr>
              <w:t>. El contratista no podrá subcontratar por más de un cincuenta por ciento (50%) del total de la obra, salvo autorización previa y expresa de la administración, cuando a juicio de esta última circunstancias muy calificadas así lo justifiquen. Sin embargo, la subcontratación no relevará al contratista de su responsabilidad por la ejecución total de la obra. Asimismo, los subcontratistas estarán sujetos a lo dispuesto en el artículo 22 bis de esta Ley.</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7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Sección tercera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Suministro de bienes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63.-</w:t>
            </w:r>
            <w:r w:rsidRPr="0060552C">
              <w:rPr>
                <w:rFonts w:ascii="Arial" w:eastAsia="Times New Roman" w:hAnsi="Arial" w:cs="Arial"/>
                <w:b/>
                <w:bCs/>
                <w:sz w:val="24"/>
                <w:szCs w:val="24"/>
                <w:lang w:val="es-MX" w:eastAsia="es-CR"/>
              </w:rPr>
              <w:t>Procedimiento aplicable</w:t>
            </w:r>
            <w:r w:rsidRPr="0060552C">
              <w:rPr>
                <w:rFonts w:ascii="Arial" w:eastAsia="Times New Roman" w:hAnsi="Arial" w:cs="Arial"/>
                <w:sz w:val="24"/>
                <w:szCs w:val="24"/>
                <w:lang w:val="es-MX" w:eastAsia="es-CR"/>
              </w:rPr>
              <w:t>. Las contrataciones de suministros se regirán por los procedimientos de licitación pública, licitación abreviada o contratación directa, según su monto.</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7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Sección cuarta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Contratación de servicios</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64.-</w:t>
            </w:r>
            <w:r w:rsidRPr="0060552C">
              <w:rPr>
                <w:rFonts w:ascii="Arial" w:eastAsia="Times New Roman" w:hAnsi="Arial" w:cs="Arial"/>
                <w:b/>
                <w:bCs/>
                <w:sz w:val="24"/>
                <w:szCs w:val="24"/>
                <w:lang w:val="es-MX" w:eastAsia="es-CR"/>
              </w:rPr>
              <w:t>Procedimiento de contratación de servicios</w:t>
            </w:r>
            <w:r w:rsidRPr="0060552C">
              <w:rPr>
                <w:rFonts w:ascii="Arial" w:eastAsia="Times New Roman" w:hAnsi="Arial" w:cs="Arial"/>
                <w:sz w:val="24"/>
                <w:szCs w:val="24"/>
                <w:lang w:val="es-MX" w:eastAsia="es-CR"/>
              </w:rPr>
              <w:t>. Los servicios técnicos o profesionales a cargo de personas físicas o jurídicas, se contratarán por los procedimientos de licitación pública, licitación abreviada o contratación directa, según su monto.</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73"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65.-</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Naturaleza. La contratación de servicios técnicos o profesionales no originará relación de empleo público, entre la Administración y el contratista, salvo en el caso del primer párrafo del artículo 67 de esta Ley. </w:t>
            </w:r>
            <w:r w:rsidRPr="0060552C">
              <w:rPr>
                <w:rFonts w:ascii="Arial" w:eastAsia="Times New Roman" w:hAnsi="Arial" w:cs="Arial"/>
                <w:sz w:val="24"/>
                <w:szCs w:val="24"/>
                <w:lang w:eastAsia="es-CR"/>
              </w:rPr>
              <w:br/>
            </w:r>
            <w:hyperlink r:id="rId74"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66.-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Criterios. Las condiciones personales, profesionales o empresariales de los participantes determinarán la adjudicación. El precio no constituirá el único factor determinante para comparar las ofertas. </w:t>
            </w:r>
            <w:r w:rsidRPr="0060552C">
              <w:rPr>
                <w:rFonts w:ascii="Arial" w:eastAsia="Times New Roman" w:hAnsi="Arial" w:cs="Arial"/>
                <w:sz w:val="24"/>
                <w:szCs w:val="24"/>
                <w:lang w:eastAsia="es-CR"/>
              </w:rPr>
              <w:br/>
            </w:r>
            <w:hyperlink r:id="rId7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67.-</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Servicios profesionales con sueldo fijo. Se autoriza a las entidades públicas para que, utilizando su régimen ordinario de nombramiento de funcionarios, contraten, con sueldo fijo, a los profesionales que requieran para formalizar las operaciones, los avalúos, los peritajes, la atención de diligencias judiciales o administrativas o cualquier otro tipo de intervención profesional relacionada con los servicios que brindan. Para esos efectos, no operará el pago que rija por concepto de honorarios para la prestación de la actividad. La institución no trasladará el costo de la contratación de esos profesionales al usuario de los servicios; pero sí deberá cobrar los demás costos implícitos, cuando deba inscribirse el documento respectivo o se requiera pagar </w:t>
            </w:r>
            <w:r w:rsidRPr="0060552C">
              <w:rPr>
                <w:rFonts w:ascii="Arial" w:eastAsia="Times New Roman" w:hAnsi="Arial" w:cs="Arial"/>
                <w:sz w:val="24"/>
                <w:szCs w:val="24"/>
                <w:lang w:eastAsia="es-CR"/>
              </w:rPr>
              <w:lastRenderedPageBreak/>
              <w:t xml:space="preserve">algún tipo de tributo. </w:t>
            </w:r>
            <w:r w:rsidRPr="0060552C">
              <w:rPr>
                <w:rFonts w:ascii="Arial" w:eastAsia="Times New Roman" w:hAnsi="Arial" w:cs="Arial"/>
                <w:sz w:val="24"/>
                <w:szCs w:val="24"/>
                <w:lang w:eastAsia="es-CR"/>
              </w:rPr>
              <w:br/>
            </w:r>
            <w:hyperlink r:id="rId7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ES" w:eastAsia="es-ES"/>
              </w:rPr>
              <w:t>Sección quinta</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b/>
                <w:sz w:val="24"/>
                <w:szCs w:val="24"/>
                <w:lang w:val="es-ES" w:eastAsia="es-ES"/>
              </w:rPr>
              <w:t>Enajenación de bienes inmuebles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ES"/>
              </w:rPr>
              <w:t>Artículo</w:t>
            </w:r>
            <w:r w:rsidRPr="0060552C">
              <w:rPr>
                <w:rFonts w:ascii="Arial" w:eastAsia="Times New Roman" w:hAnsi="Arial" w:cs="Arial"/>
                <w:sz w:val="24"/>
                <w:szCs w:val="24"/>
                <w:lang w:val="es-ES" w:eastAsia="es-ES"/>
              </w:rPr>
              <w:t xml:space="preserve"> 68.-</w:t>
            </w:r>
            <w:r w:rsidRPr="0060552C">
              <w:rPr>
                <w:rFonts w:ascii="Arial" w:eastAsia="Times New Roman" w:hAnsi="Arial" w:cs="Arial"/>
                <w:b/>
                <w:sz w:val="24"/>
                <w:szCs w:val="24"/>
                <w:lang w:val="es-ES" w:eastAsia="es-CR"/>
              </w:rPr>
              <w:t xml:space="preserve"> </w:t>
            </w:r>
            <w:r w:rsidRPr="0060552C">
              <w:rPr>
                <w:rFonts w:ascii="Arial" w:eastAsia="Times New Roman" w:hAnsi="Arial" w:cs="Arial"/>
                <w:b/>
                <w:sz w:val="24"/>
                <w:szCs w:val="24"/>
                <w:lang w:eastAsia="es-CR"/>
              </w:rPr>
              <w:t>Procedimiento aplicable</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Para enajenar los bienes inmuebles, la Administración deberá acudir al procedimiento de licitación pública o al remate, según convenga al interés público, salvo lo indicado en el artículo 69 sobre la donación.</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iCs/>
                <w:sz w:val="24"/>
                <w:szCs w:val="24"/>
                <w:lang w:eastAsia="es-CR"/>
              </w:rPr>
              <w:t>(Así reformado por el artículo único de la ley N° 9240 del 2 de mayo de 2014)</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7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69.-</w:t>
            </w:r>
            <w:r w:rsidRPr="0060552C">
              <w:rPr>
                <w:rFonts w:ascii="Arial" w:eastAsia="Times New Roman" w:hAnsi="Arial" w:cs="Arial"/>
                <w:b/>
                <w:sz w:val="24"/>
                <w:szCs w:val="24"/>
                <w:lang w:eastAsia="es-CR"/>
              </w:rPr>
              <w:t>Límites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rPr>
                <w:rFonts w:ascii="Arial" w:eastAsia="Times New Roman" w:hAnsi="Arial" w:cs="Arial"/>
                <w:sz w:val="24"/>
                <w:szCs w:val="24"/>
                <w:lang w:eastAsia="es-CR"/>
              </w:rPr>
            </w:pPr>
            <w:r w:rsidRPr="0060552C">
              <w:rPr>
                <w:rFonts w:ascii="Arial" w:eastAsia="Times New Roman" w:hAnsi="Arial" w:cs="Arial"/>
                <w:sz w:val="24"/>
                <w:szCs w:val="24"/>
                <w:lang w:eastAsia="es-CR"/>
              </w:rPr>
              <w:t>La Administración no podrá enajenar los bienes inmuebles afectos a un fin público.</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Los bienes podrán desafectarse por el mismo procedimiento </w:t>
            </w:r>
            <w:r w:rsidRPr="0060552C">
              <w:rPr>
                <w:rFonts w:ascii="Arial" w:eastAsia="Times New Roman" w:hAnsi="Arial" w:cs="Arial"/>
                <w:sz w:val="24"/>
                <w:szCs w:val="24"/>
                <w:lang w:eastAsia="es-CR"/>
              </w:rPr>
              <w:lastRenderedPageBreak/>
              <w:t>utilizado para establecer su destino actual.</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rPr>
                <w:rFonts w:ascii="Arial" w:eastAsia="Times New Roman" w:hAnsi="Arial" w:cs="Arial"/>
                <w:sz w:val="24"/>
                <w:szCs w:val="24"/>
                <w:lang w:eastAsia="es-CR"/>
              </w:rPr>
            </w:pPr>
            <w:r w:rsidRPr="0060552C">
              <w:rPr>
                <w:rFonts w:ascii="Arial" w:eastAsia="Times New Roman" w:hAnsi="Arial" w:cs="Arial"/>
                <w:sz w:val="24"/>
                <w:szCs w:val="24"/>
                <w:lang w:eastAsia="es-CR"/>
              </w:rPr>
              <w:t>Se requerirá la autorización expresa de la Asamblea Legislativa, cuando no conste el procedimiento para la afectación.</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rPr>
                <w:rFonts w:ascii="Arial" w:eastAsia="Times New Roman" w:hAnsi="Arial" w:cs="Arial"/>
                <w:sz w:val="24"/>
                <w:szCs w:val="24"/>
                <w:lang w:eastAsia="es-CR"/>
              </w:rPr>
            </w:pPr>
            <w:r w:rsidRPr="0060552C">
              <w:rPr>
                <w:rFonts w:ascii="Arial" w:eastAsia="Times New Roman" w:hAnsi="Arial" w:cs="Arial"/>
                <w:sz w:val="24"/>
                <w:szCs w:val="24"/>
                <w:lang w:eastAsia="es-CR"/>
              </w:rPr>
              <w:t>Se autoriza al Poder Ejecutivo para que done, a las instituciones autónomas y semiautónomas, los bienes inmuebles no afectos a un fin público, cuando tenga por objeto coadyuvar al cumplimiento de las funciones de estas y en aras de satisfacer el interés público. Para tal efecto, deberá emitirse resolución fundamentada del Poder Ejecutivo, acuerdo de aceptación del órgano jerárquico superior del ente beneficiado, así como el inventario y la clasificación del bien o los bienes objeto de la enajenación. La escritura la realizará la Notaría del Estado.</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t>(Así reformado por el artículo único de la ley N° 9240 del 2 de mayo de 2014)</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7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70.-</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Determinación del precio. La base de la venta de los bienes inmuebles será el precio que fije, pericialmente, el personal capacitado de la respectiva Administración o, en su defecto, la Dirección General de la Tributación Directa. </w:t>
            </w:r>
            <w:r w:rsidRPr="0060552C">
              <w:rPr>
                <w:rFonts w:ascii="Arial" w:eastAsia="Times New Roman" w:hAnsi="Arial" w:cs="Arial"/>
                <w:sz w:val="24"/>
                <w:szCs w:val="24"/>
                <w:lang w:eastAsia="es-CR"/>
              </w:rPr>
              <w:br/>
            </w:r>
            <w:hyperlink r:id="rId7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t>Sección sexta</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t>Adquisición de bienes inmuebles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ARTICULO 71.-</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Procedimiento aplicable y límites Para adquirir bienes inmuebles, la Administración acudirá al procedimiento de licitación pública, salvo que use las facultades de expropiación o compra directa, dispuestas en leyes especiales. Podrá adquirir por compra directa, previa autorización de la Contraloría General de la República, el inmueble que, por su ubicación, naturaleza, condiciones y situación, se determine como único propio para la finalidad propuesta.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Nunca podrá adquirirse un bien inmueble por un monto superior al fijado, en el avalúo, por el órgano administrativo especializado que se determinará reglamentariamente.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sz w:val="24"/>
                <w:szCs w:val="24"/>
                <w:lang w:eastAsia="es-CR"/>
              </w:rPr>
              <w:t xml:space="preserve">(Así reformado por el artículo 1º, inciso i), de la ley Nº 7612 de 22 de julio de 1996)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8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séptima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Concesión de instalaciones públicas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72.-</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Fundamento. Para el mejor cumplimiento del fin público, la Administración podrá dar en concesión instalaciones para que otras personas, físicas o jurídicas, presten servicios complementarios. </w:t>
            </w:r>
            <w:r w:rsidRPr="0060552C">
              <w:rPr>
                <w:rFonts w:ascii="Arial" w:eastAsia="Times New Roman" w:hAnsi="Arial" w:cs="Arial"/>
                <w:sz w:val="24"/>
                <w:szCs w:val="24"/>
                <w:lang w:eastAsia="es-CR"/>
              </w:rPr>
              <w:br/>
            </w:r>
            <w:hyperlink r:id="rId8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73.-</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Naturaleza. La concesión de instalaciones públicas no generará relación de inquilinato, derecho de llave ni otro beneficio diferente del empleo del bien por el plazo establecido y para el exclusivo cumplimiento del interés público. Cualquier estipulación contraria resultará absolutamente nula. Mediante resolución motivada y habiendo otorgado un aviso previo razonable, la Administración podrá poner término a la concesión, cuando sea necesario para la mejor satisfacción del interés público. Cuando las causas de la revocación, no sean atribuibles al concesionario, se le deberá indemnizar por los daños y perjuicios causados. </w:t>
            </w:r>
            <w:r w:rsidRPr="0060552C">
              <w:rPr>
                <w:rFonts w:ascii="Arial" w:eastAsia="Times New Roman" w:hAnsi="Arial" w:cs="Arial"/>
                <w:sz w:val="24"/>
                <w:szCs w:val="24"/>
                <w:lang w:eastAsia="es-CR"/>
              </w:rPr>
              <w:br/>
            </w:r>
            <w:hyperlink r:id="rId8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octava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t xml:space="preserve">Concesión de gestión de servicios públicos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74.-</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Supuestos y régimen. La administración podrá gestionar, indirectamente y por concesión, los servicios de su competencia que, por su contenido económico, sean susceptibles de explotación empresarial. Esta figura no podrá ser utilizada cuando la prestación del servicio implique el ejercicio de potestades de imperio o actos de autoridad. La administración siempre conservara los poderes de supervisión e intervención, necesarios para garantizar la buena marcha de los servicios. La concesión de gestión de servicios públicos no podrá tener carácter indefinido. Según la naturaleza del servicio, en el reglamento se fijará su duración, que no podrá exceder de veinticinco años. Todas las concesiones de gestión de servicios públicos estarán precedidas de un anteproyecto de explotación, en el que se definirán, minuciosamente, las condiciones de la prestación, las tarifas, las facultades para supervisar, las garantías de participación y cumplimiento, las modalidades de intervención administrativa y los supuestos de extinción. Los concesionarios de gestión de servicios públicos responderán, directamente, ante terceros, como consecuencia de la operación propia de la actividad, excepto cuando el daño producido sea imputable a la administración. La administración podrá variar las características del servicio concedido y el régimen tarifario, cuando existan razones de interés </w:t>
            </w:r>
            <w:proofErr w:type="spellStart"/>
            <w:proofErr w:type="gramStart"/>
            <w:r w:rsidRPr="0060552C">
              <w:rPr>
                <w:rFonts w:ascii="Arial" w:eastAsia="Times New Roman" w:hAnsi="Arial" w:cs="Arial"/>
                <w:sz w:val="24"/>
                <w:szCs w:val="24"/>
                <w:lang w:eastAsia="es-CR"/>
              </w:rPr>
              <w:t>publico</w:t>
            </w:r>
            <w:proofErr w:type="spellEnd"/>
            <w:proofErr w:type="gramEnd"/>
            <w:r w:rsidRPr="0060552C">
              <w:rPr>
                <w:rFonts w:ascii="Arial" w:eastAsia="Times New Roman" w:hAnsi="Arial" w:cs="Arial"/>
                <w:sz w:val="24"/>
                <w:szCs w:val="24"/>
                <w:lang w:eastAsia="es-CR"/>
              </w:rPr>
              <w:t xml:space="preserve">, debidamente acreditadas, previo trámite del expediente respectivo. Si estas modificaciones alteran el equilibrio financiero de la gestión, la administración deberá compensar al contratista, de manera que se restablezcan las condiciones consideradas en el momento de la adjudicación. El régimen definido en este </w:t>
            </w:r>
            <w:proofErr w:type="spellStart"/>
            <w:proofErr w:type="gramStart"/>
            <w:r w:rsidRPr="0060552C">
              <w:rPr>
                <w:rFonts w:ascii="Arial" w:eastAsia="Times New Roman" w:hAnsi="Arial" w:cs="Arial"/>
                <w:sz w:val="24"/>
                <w:szCs w:val="24"/>
                <w:lang w:eastAsia="es-CR"/>
              </w:rPr>
              <w:t>articulo</w:t>
            </w:r>
            <w:proofErr w:type="spellEnd"/>
            <w:proofErr w:type="gramEnd"/>
            <w:r w:rsidRPr="0060552C">
              <w:rPr>
                <w:rFonts w:ascii="Arial" w:eastAsia="Times New Roman" w:hAnsi="Arial" w:cs="Arial"/>
                <w:sz w:val="24"/>
                <w:szCs w:val="24"/>
                <w:lang w:eastAsia="es-CR"/>
              </w:rPr>
              <w:t xml:space="preserve"> no se aplicará a las concesiones de servicios públicos, a cargo de particulares, reguladas por ley especial. </w:t>
            </w:r>
            <w:r w:rsidRPr="0060552C">
              <w:rPr>
                <w:rFonts w:ascii="Arial" w:eastAsia="Times New Roman" w:hAnsi="Arial" w:cs="Arial"/>
                <w:sz w:val="24"/>
                <w:szCs w:val="24"/>
                <w:lang w:eastAsia="es-CR"/>
              </w:rPr>
              <w:br/>
            </w:r>
            <w:hyperlink r:id="rId83"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75.-</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br/>
            </w:r>
            <w:r w:rsidRPr="0060552C">
              <w:rPr>
                <w:rFonts w:ascii="Arial" w:eastAsia="Times New Roman" w:hAnsi="Arial" w:cs="Arial"/>
                <w:sz w:val="24"/>
                <w:szCs w:val="24"/>
                <w:lang w:eastAsia="es-CR"/>
              </w:rPr>
              <w:br/>
              <w:t xml:space="preserve">Resolución. Serán causas de resolución del contrato: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a) el incumplimiento del concesionario, cuando perturbe gravemente la prestación del servicio público. b) la supresión del servicio por razones de interés </w:t>
            </w:r>
            <w:proofErr w:type="spellStart"/>
            <w:r w:rsidRPr="0060552C">
              <w:rPr>
                <w:rFonts w:ascii="Arial" w:eastAsia="Times New Roman" w:hAnsi="Arial" w:cs="Arial"/>
                <w:sz w:val="24"/>
                <w:szCs w:val="24"/>
                <w:lang w:eastAsia="es-CR"/>
              </w:rPr>
              <w:t>publico</w:t>
            </w:r>
            <w:proofErr w:type="spellEnd"/>
            <w:r w:rsidRPr="0060552C">
              <w:rPr>
                <w:rFonts w:ascii="Arial" w:eastAsia="Times New Roman" w:hAnsi="Arial" w:cs="Arial"/>
                <w:sz w:val="24"/>
                <w:szCs w:val="24"/>
                <w:lang w:eastAsia="es-CR"/>
              </w:rPr>
              <w:t xml:space="preserve">. c) la recuperación del servicio para ser explotado directamente por la administración. d) la muerte del contratista o la extinción de la persona jurídica concesionaria. e) la declaración de insolvencia o quiebra del concesionario. f) el mutuo acuerdo entre la administración y el concesionario. g) las que se señalen expresamente en el cartel o el contrato. h) la cesión de la concesión sin estar autorizada previamente por la administración.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Cuando la perturbación al prestar el servicio no haga desaparecer la viabilidad empresarial de la explotación, la administración podrá optar por intervenir provisionalmente, hasta que cesen las perturbaciones. El concesionario deberá indemnizar a la administración por los costos y perjuicios ocasionados por esa intervención. Cuando la resolución sea imputable a la administración, esta reconocerá los daños y perjuicios causados al concesionario. </w:t>
            </w:r>
            <w:r w:rsidRPr="0060552C">
              <w:rPr>
                <w:rFonts w:ascii="Arial" w:eastAsia="Times New Roman" w:hAnsi="Arial" w:cs="Arial"/>
                <w:sz w:val="24"/>
                <w:szCs w:val="24"/>
                <w:lang w:eastAsia="es-CR"/>
              </w:rPr>
              <w:br/>
            </w:r>
            <w:hyperlink r:id="rId84"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Sección Novena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Arrendamiento de inmuebles</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76.-</w:t>
            </w:r>
            <w:r w:rsidRPr="0060552C">
              <w:rPr>
                <w:rFonts w:ascii="Arial" w:eastAsia="Times New Roman" w:hAnsi="Arial" w:cs="Arial"/>
                <w:b/>
                <w:bCs/>
                <w:sz w:val="24"/>
                <w:szCs w:val="24"/>
                <w:lang w:val="es-MX" w:eastAsia="es-CR"/>
              </w:rPr>
              <w:t>Procedimiento aplicable</w:t>
            </w:r>
            <w:r w:rsidRPr="0060552C">
              <w:rPr>
                <w:rFonts w:ascii="Arial" w:eastAsia="Times New Roman" w:hAnsi="Arial" w:cs="Arial"/>
                <w:sz w:val="24"/>
                <w:szCs w:val="24"/>
                <w:lang w:val="es-MX" w:eastAsia="es-CR"/>
              </w:rPr>
              <w:t>. Para tomar en arrendamiento bienes inmuebles, con construcciones o sin ellas, la administración deberá acudir al procedimiento de licitación pública, licitación abreviada o contratación directa, según corresponda, de acuerdo con el monto.</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lastRenderedPageBreak/>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8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i/>
                <w:color w:val="000000"/>
                <w:sz w:val="24"/>
                <w:szCs w:val="24"/>
                <w:lang w:eastAsia="es-CR"/>
              </w:rPr>
              <w:t>(*)</w:t>
            </w:r>
            <w:r w:rsidRPr="0060552C">
              <w:rPr>
                <w:rFonts w:ascii="Arial" w:eastAsia="Times New Roman" w:hAnsi="Arial" w:cs="Arial"/>
                <w:color w:val="000000"/>
                <w:sz w:val="24"/>
                <w:szCs w:val="24"/>
                <w:lang w:val="es-MX" w:eastAsia="es-CR"/>
              </w:rPr>
              <w:t>Artículo</w:t>
            </w:r>
            <w:r w:rsidRPr="0060552C">
              <w:rPr>
                <w:rFonts w:ascii="Arial" w:eastAsia="Times New Roman" w:hAnsi="Arial" w:cs="Arial"/>
                <w:color w:val="000000"/>
                <w:sz w:val="24"/>
                <w:szCs w:val="24"/>
                <w:lang w:eastAsia="es-CR"/>
              </w:rPr>
              <w:t xml:space="preserve"> 77.- Plazo del arrendamiento.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color w:val="000000"/>
                <w:sz w:val="24"/>
                <w:szCs w:val="24"/>
                <w:lang w:eastAsia="es-CR"/>
              </w:rPr>
              <w:t xml:space="preserve">Para todos los efectos se entenderá que el arrendamiento es por tiempo indefinido, en beneficio de la administración; no obstante, ésta podrá ponerle término en cualquier tiempo, sin responsabilidad alguna de su parte. Para ello, dará aviso previo por el período previsto en las condiciones del concurso o, en su defecto, avisará con tres meses de anticipación por lo menos.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bCs/>
                <w:i/>
                <w:iCs/>
                <w:color w:val="000000"/>
                <w:sz w:val="24"/>
                <w:szCs w:val="24"/>
                <w:lang w:eastAsia="es-CR"/>
              </w:rPr>
              <w:t xml:space="preserve">(*)Anulado por resolución de la Sala Constitucional N° 11398-2003 de las 14:44 </w:t>
            </w:r>
            <w:proofErr w:type="spellStart"/>
            <w:r w:rsidRPr="0060552C">
              <w:rPr>
                <w:rFonts w:ascii="Arial" w:eastAsia="Times New Roman" w:hAnsi="Arial" w:cs="Arial"/>
                <w:bCs/>
                <w:i/>
                <w:iCs/>
                <w:color w:val="000000"/>
                <w:sz w:val="24"/>
                <w:szCs w:val="24"/>
                <w:lang w:eastAsia="es-CR"/>
              </w:rPr>
              <w:t>hrs</w:t>
            </w:r>
            <w:proofErr w:type="spellEnd"/>
            <w:r w:rsidRPr="0060552C">
              <w:rPr>
                <w:rFonts w:ascii="Arial" w:eastAsia="Times New Roman" w:hAnsi="Arial" w:cs="Arial"/>
                <w:bCs/>
                <w:i/>
                <w:iCs/>
                <w:color w:val="000000"/>
                <w:sz w:val="24"/>
                <w:szCs w:val="24"/>
                <w:lang w:eastAsia="es-CR"/>
              </w:rPr>
              <w:t xml:space="preserve"> de 08/10/2003</w:t>
            </w:r>
            <w:r w:rsidRPr="0060552C">
              <w:rPr>
                <w:rFonts w:ascii="Arial" w:eastAsia="Times New Roman" w:hAnsi="Arial" w:cs="Arial"/>
                <w:color w:val="000000"/>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8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Sección décima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Arrendamiento de equipo</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78.-</w:t>
            </w:r>
            <w:r w:rsidRPr="0060552C">
              <w:rPr>
                <w:rFonts w:ascii="Arial" w:eastAsia="Times New Roman" w:hAnsi="Arial" w:cs="Arial"/>
                <w:b/>
                <w:bCs/>
                <w:sz w:val="24"/>
                <w:szCs w:val="24"/>
                <w:lang w:val="es-MX" w:eastAsia="es-CR"/>
              </w:rPr>
              <w:t>Procedimiento aplicable</w:t>
            </w:r>
            <w:r w:rsidRPr="0060552C">
              <w:rPr>
                <w:rFonts w:ascii="Arial" w:eastAsia="Times New Roman" w:hAnsi="Arial" w:cs="Arial"/>
                <w:sz w:val="24"/>
                <w:szCs w:val="24"/>
                <w:lang w:val="es-MX" w:eastAsia="es-CR"/>
              </w:rPr>
              <w:t xml:space="preserve">. La administración podrá tomar en arriendo equipo o maquinaria con opción de compra o sin ella; para ello, deberá seguir los procedimientos de licitación pública, </w:t>
            </w:r>
            <w:r w:rsidRPr="0060552C">
              <w:rPr>
                <w:rFonts w:ascii="Arial" w:eastAsia="Times New Roman" w:hAnsi="Arial" w:cs="Arial"/>
                <w:sz w:val="24"/>
                <w:szCs w:val="24"/>
                <w:lang w:val="es-MX" w:eastAsia="es-CR"/>
              </w:rPr>
              <w:lastRenderedPageBreak/>
              <w:t>licitación abreviada o contratación directa, según su monto.</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8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79.-</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Cuantificación del arrendamiento. Cuando el arrendamiento sea con opción de compra, el monto de la contratación se estimará a partir del precio actual del equipo por arrendar. Cuando el arrendamiento no incluya opción de compra, la contratación se estimará tomando el monto total de alquileres correspondientes a cuatro años. </w:t>
            </w:r>
            <w:r w:rsidRPr="0060552C">
              <w:rPr>
                <w:rFonts w:ascii="Arial" w:eastAsia="Times New Roman" w:hAnsi="Arial" w:cs="Arial"/>
                <w:sz w:val="24"/>
                <w:szCs w:val="24"/>
                <w:lang w:eastAsia="es-CR"/>
              </w:rPr>
              <w:br/>
            </w:r>
            <w:hyperlink r:id="rId8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CAPITULO VIII</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Procedimientos de urgencia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80.-</w:t>
            </w:r>
            <w:r w:rsidRPr="0060552C">
              <w:rPr>
                <w:rFonts w:ascii="Arial" w:eastAsia="Times New Roman" w:hAnsi="Arial" w:cs="Arial"/>
                <w:b/>
                <w:bCs/>
                <w:sz w:val="24"/>
                <w:szCs w:val="24"/>
                <w:lang w:val="es-MX" w:eastAsia="es-CR"/>
              </w:rPr>
              <w:t>Supuestos</w:t>
            </w:r>
            <w:r w:rsidRPr="0060552C">
              <w:rPr>
                <w:rFonts w:ascii="Arial" w:eastAsia="Times New Roman" w:hAnsi="Arial" w:cs="Arial"/>
                <w:sz w:val="24"/>
                <w:szCs w:val="24"/>
                <w:lang w:val="es-MX" w:eastAsia="es-CR"/>
              </w:rPr>
              <w:t xml:space="preserve">. En casos de urgencia y para evitar lesiones del interés público, daños graves a las personas y daños irreparables a las cosas, podrá prescindirse de una o de todas las formalidades de los procedimientos de contratación; incluso podrán dictarse procedimientos sustitutivos.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estos supuestos y para el control y la fiscalización correspondiente, la administración estará obligada a solicitar, previamente, a la Contraloría General de la República, la autorización para utilizar este mecanismo. La petición deberá resolverse dentro de los cinco días hábiles siguientes. El silencio del órgano contralor no podrá interpretarse como aprobación de la solicitud.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La autorización podrá ser requerida y extendida en forma escrita o verbal, según lo regule la Contraloría General de la República.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8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CAPITULO IX</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Los Recursos</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Sección primera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lastRenderedPageBreak/>
              <w:t xml:space="preserve">Objeción del cartel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81.-</w:t>
            </w:r>
            <w:r w:rsidRPr="0060552C">
              <w:rPr>
                <w:rFonts w:ascii="Arial" w:eastAsia="Times New Roman" w:hAnsi="Arial" w:cs="Arial"/>
                <w:b/>
                <w:bCs/>
                <w:sz w:val="24"/>
                <w:szCs w:val="24"/>
                <w:lang w:val="es-MX" w:eastAsia="es-CR"/>
              </w:rPr>
              <w:t>Plazo y órganos competentes</w:t>
            </w:r>
            <w:r w:rsidRPr="0060552C">
              <w:rPr>
                <w:rFonts w:ascii="Arial" w:eastAsia="Times New Roman" w:hAnsi="Arial" w:cs="Arial"/>
                <w:sz w:val="24"/>
                <w:szCs w:val="24"/>
                <w:lang w:val="es-MX" w:eastAsia="es-CR"/>
              </w:rPr>
              <w:t xml:space="preserve">. Contra el cartel de la licitación pública y de la licitación abreviada, podrá interponerse recurso de objeción, dentro del primer tercio del plazo para presentar ofertas.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El recurso se interpondrá ante la Contraloría General de la República, en los casos de licitación pública, y en los demás casos, ante la administración contratante.</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9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82.-</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Legitimación y supuestos. Podrá interponer el recurso de objeción </w:t>
            </w:r>
            <w:proofErr w:type="gramStart"/>
            <w:r w:rsidRPr="0060552C">
              <w:rPr>
                <w:rFonts w:ascii="Arial" w:eastAsia="Times New Roman" w:hAnsi="Arial" w:cs="Arial"/>
                <w:sz w:val="24"/>
                <w:szCs w:val="24"/>
                <w:lang w:eastAsia="es-CR"/>
              </w:rPr>
              <w:t>todo</w:t>
            </w:r>
            <w:proofErr w:type="gramEnd"/>
            <w:r w:rsidRPr="0060552C">
              <w:rPr>
                <w:rFonts w:ascii="Arial" w:eastAsia="Times New Roman" w:hAnsi="Arial" w:cs="Arial"/>
                <w:sz w:val="24"/>
                <w:szCs w:val="24"/>
                <w:lang w:eastAsia="es-CR"/>
              </w:rPr>
              <w:t xml:space="preserve"> oferente potencial o su representante, cuando se considere que ha habido vicios de procedimiento, se ha incurrido en alguna violación de los principios fundamentales de la contratación o se ha quebrantado, de alguna forma, el ordenamiento regulador de la materia. Además, estará legitimada para objetar el cartel o el pliego de condiciones, toda entidad legalmente constituida para velar por los intereses de la comunidad donde vaya a ejecutarse la contratación o sobre la cual surta efectos. </w:t>
            </w:r>
            <w:r w:rsidRPr="0060552C">
              <w:rPr>
                <w:rFonts w:ascii="Arial" w:eastAsia="Times New Roman" w:hAnsi="Arial" w:cs="Arial"/>
                <w:sz w:val="24"/>
                <w:szCs w:val="24"/>
                <w:lang w:eastAsia="es-CR"/>
              </w:rPr>
              <w:br/>
            </w:r>
            <w:hyperlink r:id="rId9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83.-</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Resolución. El recurso de objeción deberá resolverse dentro de los diez días hábiles siguientes a su presentación. Si no se resuelve dentro de este plazo, la objeción se tendrá por acogida favorablemente. </w:t>
            </w:r>
            <w:r w:rsidRPr="0060552C">
              <w:rPr>
                <w:rFonts w:ascii="Arial" w:eastAsia="Times New Roman" w:hAnsi="Arial" w:cs="Arial"/>
                <w:sz w:val="24"/>
                <w:szCs w:val="24"/>
                <w:lang w:eastAsia="es-CR"/>
              </w:rPr>
              <w:br/>
            </w:r>
            <w:hyperlink r:id="rId9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Sección Segunda</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Apelación</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84.-</w:t>
            </w:r>
            <w:r w:rsidRPr="0060552C">
              <w:rPr>
                <w:rFonts w:ascii="Arial" w:eastAsia="Times New Roman" w:hAnsi="Arial" w:cs="Arial"/>
                <w:b/>
                <w:bCs/>
                <w:sz w:val="24"/>
                <w:szCs w:val="24"/>
                <w:lang w:val="es-MX" w:eastAsia="es-CR"/>
              </w:rPr>
              <w:t>Cobertura del recurso y órgano competente</w:t>
            </w:r>
            <w:r w:rsidRPr="0060552C">
              <w:rPr>
                <w:rFonts w:ascii="Arial" w:eastAsia="Times New Roman" w:hAnsi="Arial" w:cs="Arial"/>
                <w:sz w:val="24"/>
                <w:szCs w:val="24"/>
                <w:lang w:val="es-MX" w:eastAsia="es-CR"/>
              </w:rPr>
              <w:t xml:space="preserve">. En contra del acto de adjudicación podrá interponerse el recurso de apelación, en los siguientes casos: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CR"/>
              </w:rPr>
              <w:t> </w:t>
            </w:r>
            <w:r w:rsidRPr="0060552C">
              <w:rPr>
                <w:rFonts w:ascii="Arial" w:eastAsia="Times New Roman" w:hAnsi="Arial" w:cs="Arial"/>
                <w:color w:val="000000"/>
                <w:sz w:val="24"/>
                <w:szCs w:val="24"/>
                <w:lang w:val="es-ES_tradnl" w:eastAsia="es-CR"/>
              </w:rPr>
              <w:t xml:space="preserve">a)  En las administraciones citadas en el inciso a) del artículo 27 de esta Ley, cuando el monto de la adjudicación impugnada sea igual o superior a los ciento cincuenta y dos millones de colones (¢152.000.000,00).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ES_tradnl" w:eastAsia="es-CR"/>
              </w:rPr>
              <w:t xml:space="preserve">b)  En las administraciones citadas en el inciso b), del artículo 27 de esta Ley, cuando el monto de la adjudicación impugnada sea igual o superior a los ciento siete millones ochocientos mil colones (¢107.800.000,00).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ES_tradnl" w:eastAsia="es-CR"/>
              </w:rPr>
              <w:t xml:space="preserve">c)  En las administraciones citadas en el inciso c), del artículo 27 de esta Ley, cuando el monto de la adjudicación impugnada sea igual o superior a los setenta y siete millones cien mil colones (¢77.100.000,00).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ES_tradnl" w:eastAsia="es-CR"/>
              </w:rPr>
              <w:t xml:space="preserve">d)  En las administraciones citadas en el inciso d), del artículo 27 de esta Ley, cuando el monto de la adjudicación impugnada sea igual o superior a los cincuenta y seis millones cuatrocientos mil colones (¢56.400.000,00).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ES_tradnl" w:eastAsia="es-CR"/>
              </w:rPr>
              <w:t xml:space="preserve">e)  En las administraciones citadas en el inciso e), del artículo 27 de esta Ley, cuando el monto de la adjudicación impugnada sea igual o superior a los cuarenta millones seiscientos mil colones (¢40.600.000,00).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ES_tradnl" w:eastAsia="es-CR"/>
              </w:rPr>
              <w:t xml:space="preserve">f)   En las administraciones citadas en el inciso f), del artículo 27 de esta Ley, cuando el monto de la adjudicación impugnada sea igual o superior a los treinta y cuatro millones ochocientos mil colones (¢34.800.000,00).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ES_tradnl" w:eastAsia="es-CR"/>
              </w:rPr>
              <w:t xml:space="preserve">g)  En las administraciones citadas en el inciso g), del artículo 27 de esta Ley, cuando el monto de la adjudicación impugnada sea igual o superior a los veinticuatro millones de colones (¢24.000.000,00).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ES_tradnl" w:eastAsia="es-CR"/>
              </w:rPr>
              <w:t xml:space="preserve">h)  En las administraciones citadas en el inciso h), del artículo 27 de esta Ley, cuando el monto de la adjudicación impugnada sea igual o superior a los diecisiete millones cuatrocientos mil colones (¢17.400.000,00).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ES_tradnl" w:eastAsia="es-CR"/>
              </w:rPr>
              <w:lastRenderedPageBreak/>
              <w:t xml:space="preserve">i)   En las administraciones citadas en el inciso i), del artículo 27 de esta Ley, cuando el monto de la adjudicación impugnada sea igual o superior a los once millones seiscientos mil colones (¢11.600.000,00).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480" w:firstLine="240"/>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ES_tradnl" w:eastAsia="es-CR"/>
              </w:rPr>
              <w:t>j)   En las administraciones citadas en el inciso j), del artículo 27 de esta Ley, cuando el monto de la adjudicación impugnada sea igual o superior a los cinco millones ochocientos mil colones (¢5.800.000,00).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 xml:space="preserve">(Los límites económicos establecidos en los incisos del a) al j) fueron modificados por resolución de la Contraloría General de la República N° </w:t>
            </w:r>
            <w:r w:rsidRPr="0060552C">
              <w:rPr>
                <w:rFonts w:ascii="Arial" w:eastAsia="Times New Roman" w:hAnsi="Arial" w:cs="Arial"/>
                <w:i/>
                <w:iCs/>
                <w:sz w:val="24"/>
                <w:szCs w:val="24"/>
                <w:lang w:val="es-ES" w:eastAsia="es-CR"/>
              </w:rPr>
              <w:t xml:space="preserve">R-DC-19-2015 del 19 de febrero del 2015, dicha modificación no está incluida en este texto, por lo que  puede ser consultado </w:t>
            </w:r>
            <w:hyperlink r:id="rId93" w:history="1">
              <w:r w:rsidRPr="0060552C">
                <w:rPr>
                  <w:rFonts w:ascii="Arial" w:eastAsia="Times New Roman" w:hAnsi="Arial" w:cs="Arial"/>
                  <w:i/>
                  <w:iCs/>
                  <w:color w:val="0000FF"/>
                  <w:sz w:val="24"/>
                  <w:szCs w:val="24"/>
                  <w:u w:val="single"/>
                  <w:lang w:val="es-ES" w:eastAsia="es-CR"/>
                </w:rPr>
                <w:t>aquí</w:t>
              </w:r>
            </w:hyperlink>
            <w:r w:rsidRPr="0060552C">
              <w:rPr>
                <w:rFonts w:ascii="Arial" w:eastAsia="Times New Roman" w:hAnsi="Arial" w:cs="Arial"/>
                <w:i/>
                <w:iCs/>
                <w:sz w:val="24"/>
                <w:szCs w:val="24"/>
                <w:lang w:val="es-ES" w:eastAsia="es-CR"/>
              </w:rPr>
              <w:t xml:space="preserve"> )  </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Para efectos de la aplicación de los límites anteriores, únicamente se tomará en consideración el monto impugnado. En el caso de licitaciones compuestas por varias líneas, se sumarán los montos adjudicados de las líneas que se impugnen. Si se trata de contratos continuados, se tomará en cuenta el monto adjudicado para el plazo inicial, sin considerar prórrogas eventuales. En licitaciones con cuantía inestimable cabrá el recurso de apelación. En los concursos promovidos de conformidad con lo previsto en el primer párrafo del artículo 1º de esta Ley, resultarán aplicables los límites establecidos en los anteriores incisos. En las adjudicaciones derivadas de autorizaciones basadas en razones de urgencia, no procederá recurso alguno.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El recurso deberá ser presentado ante la Contraloría General de la República, dentro de los diez días hábiles siguientes a la notificación del acto de adjudicación en los casos de licitación pública. Cuando se trate de licitaciones abreviadas o de concursos promovidos de conformidad con el segundo párrafo del artículo 1 de esta Ley, el recurso deberá presentarse dentro de los cinco días siguientes a la </w:t>
            </w:r>
            <w:r w:rsidRPr="0060552C">
              <w:rPr>
                <w:rFonts w:ascii="Arial" w:eastAsia="Times New Roman" w:hAnsi="Arial" w:cs="Arial"/>
                <w:sz w:val="24"/>
                <w:szCs w:val="24"/>
                <w:lang w:val="es-MX" w:eastAsia="es-CR"/>
              </w:rPr>
              <w:lastRenderedPageBreak/>
              <w:t xml:space="preserve">notificación del acto de adjudicación.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Los montos de apelación citados en este artículo serán ajustados de conformidad con los criterios establecidos en el artículo 27 de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reformado mediante el artículo 1° de la ley N° 8511 del 16 de mayo del 2006)</w:t>
            </w:r>
            <w:r w:rsidRPr="0060552C">
              <w:rPr>
                <w:rFonts w:ascii="Arial" w:eastAsia="Times New Roman" w:hAnsi="Arial" w:cs="Arial"/>
                <w:sz w:val="24"/>
                <w:szCs w:val="24"/>
                <w:lang w:val="es-MX" w:eastAsia="es-CR"/>
              </w:rPr>
              <w:t xml:space="preserve"> </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94"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85.-</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Legitimación. Toda persona que ostente un interés legítimo, actual, propio y directo podrá interponer el recurso de apelación. Igualmente, estaba legitimado para recurrir quien haya presentado oferta en nombre de un tercero, que ostente cualquier tipo de representación. </w:t>
            </w:r>
            <w:r w:rsidRPr="0060552C">
              <w:rPr>
                <w:rFonts w:ascii="Arial" w:eastAsia="Times New Roman" w:hAnsi="Arial" w:cs="Arial"/>
                <w:sz w:val="24"/>
                <w:szCs w:val="24"/>
                <w:lang w:eastAsia="es-CR"/>
              </w:rPr>
              <w:br/>
            </w:r>
            <w:hyperlink r:id="rId9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86.-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Admisibilidad. La Contraloría General de la República dispondrá, en los primeros diez días hábiles, la tramitación del recurso o, en caso contrario, su rechazo por inadmisible o por improcedencia manifiesta. </w:t>
            </w:r>
            <w:r w:rsidRPr="0060552C">
              <w:rPr>
                <w:rFonts w:ascii="Arial" w:eastAsia="Times New Roman" w:hAnsi="Arial" w:cs="Arial"/>
                <w:sz w:val="24"/>
                <w:szCs w:val="24"/>
                <w:lang w:eastAsia="es-CR"/>
              </w:rPr>
              <w:lastRenderedPageBreak/>
              <w:t xml:space="preserve">Esta facultad podrá ejercerse en cualquier etapa del procedimiento en que se determinen esos supuestos. </w:t>
            </w:r>
            <w:r w:rsidRPr="0060552C">
              <w:rPr>
                <w:rFonts w:ascii="Arial" w:eastAsia="Times New Roman" w:hAnsi="Arial" w:cs="Arial"/>
                <w:sz w:val="24"/>
                <w:szCs w:val="24"/>
                <w:lang w:eastAsia="es-CR"/>
              </w:rPr>
              <w:br/>
            </w:r>
            <w:hyperlink r:id="rId9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color w:val="000000"/>
                <w:sz w:val="24"/>
                <w:szCs w:val="24"/>
                <w:lang w:eastAsia="es-CR"/>
              </w:rPr>
              <w:t>Artículo 87.-</w:t>
            </w:r>
            <w:r w:rsidRPr="0060552C">
              <w:rPr>
                <w:rFonts w:ascii="Arial" w:eastAsia="Times New Roman" w:hAnsi="Arial" w:cs="Arial"/>
                <w:i/>
                <w:color w:val="000000"/>
                <w:sz w:val="24"/>
                <w:szCs w:val="24"/>
                <w:lang w:eastAsia="es-CR"/>
              </w:rPr>
              <w:t>Anulado por Resolución de la Sala Constitucional Nº 998-98 de las 11:30 del 16 de febrero de 1998</w:t>
            </w:r>
            <w:r w:rsidRPr="0060552C">
              <w:rPr>
                <w:rFonts w:ascii="Arial" w:eastAsia="Times New Roman" w:hAnsi="Arial" w:cs="Arial"/>
                <w:color w:val="000000"/>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9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88.-</w:t>
            </w:r>
            <w:r w:rsidRPr="0060552C">
              <w:rPr>
                <w:rFonts w:ascii="Arial" w:eastAsia="Times New Roman" w:hAnsi="Arial" w:cs="Arial"/>
                <w:b/>
                <w:bCs/>
                <w:sz w:val="24"/>
                <w:szCs w:val="24"/>
                <w:lang w:val="es-MX" w:eastAsia="es-CR"/>
              </w:rPr>
              <w:t>Fundamentación del recurso</w:t>
            </w:r>
            <w:r w:rsidRPr="0060552C">
              <w:rPr>
                <w:rFonts w:ascii="Arial" w:eastAsia="Times New Roman" w:hAnsi="Arial" w:cs="Arial"/>
                <w:sz w:val="24"/>
                <w:szCs w:val="24"/>
                <w:lang w:val="es-MX" w:eastAsia="es-CR"/>
              </w:rPr>
              <w:t xml:space="preserve">. El recurso de apelación deberá indicar, con precisión, la infracción sustancial del ordenamiento jurídico que se alegue como fundamento de la impugnación. Cuando se discrepe de los estudios que sirven de motivo a la administración para adoptar su decisión, el apelante deberá rebatir, en forma razonada, esos antecedentes; para ello, deberá aportar los dictámenes y estudios emitidos por profesionales calificados.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En los casos en que se apele un acto de </w:t>
            </w:r>
            <w:proofErr w:type="spellStart"/>
            <w:r w:rsidRPr="0060552C">
              <w:rPr>
                <w:rFonts w:ascii="Arial" w:eastAsia="Times New Roman" w:hAnsi="Arial" w:cs="Arial"/>
                <w:sz w:val="24"/>
                <w:szCs w:val="24"/>
                <w:lang w:val="es-MX" w:eastAsia="es-CR"/>
              </w:rPr>
              <w:t>readjudicación</w:t>
            </w:r>
            <w:proofErr w:type="spellEnd"/>
            <w:r w:rsidRPr="0060552C">
              <w:rPr>
                <w:rFonts w:ascii="Arial" w:eastAsia="Times New Roman" w:hAnsi="Arial" w:cs="Arial"/>
                <w:sz w:val="24"/>
                <w:szCs w:val="24"/>
                <w:lang w:val="es-MX" w:eastAsia="es-CR"/>
              </w:rPr>
              <w:t xml:space="preserve">, la impugnación, únicamente deberá girar contra las actuaciones realizadas con posterioridad a la resolución anulatoria, y cualquier situación que se haya conocido desde que se dictó el acto de adjudicación estará </w:t>
            </w:r>
            <w:proofErr w:type="spellStart"/>
            <w:r w:rsidRPr="0060552C">
              <w:rPr>
                <w:rFonts w:ascii="Arial" w:eastAsia="Times New Roman" w:hAnsi="Arial" w:cs="Arial"/>
                <w:sz w:val="24"/>
                <w:szCs w:val="24"/>
                <w:lang w:val="es-MX" w:eastAsia="es-CR"/>
              </w:rPr>
              <w:t>precluída</w:t>
            </w:r>
            <w:proofErr w:type="spellEnd"/>
            <w:r w:rsidRPr="0060552C">
              <w:rPr>
                <w:rFonts w:ascii="Arial" w:eastAsia="Times New Roman" w:hAnsi="Arial" w:cs="Arial"/>
                <w:sz w:val="24"/>
                <w:szCs w:val="24"/>
                <w:lang w:val="es-MX" w:eastAsia="es-CR"/>
              </w:rPr>
              <w:t>.</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lastRenderedPageBreak/>
              <w:br/>
            </w:r>
            <w:hyperlink r:id="rId9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630"/>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89.-</w:t>
            </w:r>
            <w:r w:rsidRPr="0060552C">
              <w:rPr>
                <w:rFonts w:ascii="Arial" w:eastAsia="Times New Roman" w:hAnsi="Arial" w:cs="Arial"/>
                <w:b/>
                <w:bCs/>
                <w:sz w:val="24"/>
                <w:szCs w:val="24"/>
                <w:lang w:val="es-MX" w:eastAsia="es-CR"/>
              </w:rPr>
              <w:t>Plazo para resolver</w:t>
            </w:r>
            <w:r w:rsidRPr="0060552C">
              <w:rPr>
                <w:rFonts w:ascii="Arial" w:eastAsia="Times New Roman" w:hAnsi="Arial" w:cs="Arial"/>
                <w:sz w:val="24"/>
                <w:szCs w:val="24"/>
                <w:lang w:val="es-MX" w:eastAsia="es-CR"/>
              </w:rPr>
              <w:t xml:space="preserve">. En los casos de licitaciones públicas, el recurso de apelación deberá ser resuelto dentro de los cuarenta días hábiles siguientes al auto inicial; en dicho auto se conferirá a la administración y, a la parte adjudicataria, un plazo de diez días hábiles para que se manifiesten sobre los alegatos del apelante y aporten las pruebas respectivas. Cuando se trate de licitaciones abreviadas o de concursos promovidos de conformidad con el segundo párrafo del artículo 1º de esta Ley, el plazo de resolución será de treinta días hábiles y el emplazamiento será por cinco días hábiles.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En casos muy calificados, cuando para resolver el recurso haya sido necesario recabar prueba para mejor resolver que, por su complejidad no pueda ser rendida dentro del plazo normal de resolución, mediante decisión motivada podrá prorrogarse el período hasta por otros veinte días hábiles, en los casos de licitaciones públicas, y por diez días hábiles, cuando se trate de licitaciones abreviadas o de concursos promovidos de conformidad con el párrafo segundo del artículo 1º de esta Ley.</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w:t>
            </w:r>
            <w:r w:rsidRPr="0060552C">
              <w:rPr>
                <w:rFonts w:ascii="Arial" w:eastAsia="Verdana" w:hAnsi="Arial" w:cs="Arial"/>
                <w:i/>
                <w:iCs/>
                <w:color w:val="000000"/>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9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90.-</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lastRenderedPageBreak/>
              <w:br/>
              <w:t xml:space="preserve">Agotamiento de la vía administrativa. La resolución final o el auto que ponga término al recurso </w:t>
            </w:r>
            <w:proofErr w:type="gramStart"/>
            <w:r w:rsidRPr="0060552C">
              <w:rPr>
                <w:rFonts w:ascii="Arial" w:eastAsia="Times New Roman" w:hAnsi="Arial" w:cs="Arial"/>
                <w:sz w:val="24"/>
                <w:szCs w:val="24"/>
                <w:lang w:eastAsia="es-CR"/>
              </w:rPr>
              <w:t>dará</w:t>
            </w:r>
            <w:proofErr w:type="gramEnd"/>
            <w:r w:rsidRPr="0060552C">
              <w:rPr>
                <w:rFonts w:ascii="Arial" w:eastAsia="Times New Roman" w:hAnsi="Arial" w:cs="Arial"/>
                <w:sz w:val="24"/>
                <w:szCs w:val="24"/>
                <w:lang w:eastAsia="es-CR"/>
              </w:rPr>
              <w:t xml:space="preserve"> por agotada la vía administrativa. Dentro de los tres días posteriores a la comunicación, el interesado podrá impugnar el acto final, sin efectos suspensivos, ante el Tribunal Superior Contencioso-Administrativo, por medio del proceso especial regulado en los artículos 89 y 90 de la Ley reguladora de la jurisdicción contencioso-administrativa. Si la contratación cuya adjudicación se impugna ha sido ejecutada o se encuentra en curso de ejecución, la sentencia favorable al accionante solo podrá reconocer el pago de los daños y perjuicios causados. </w:t>
            </w:r>
            <w:r w:rsidRPr="0060552C">
              <w:rPr>
                <w:rFonts w:ascii="Arial" w:eastAsia="Times New Roman" w:hAnsi="Arial" w:cs="Arial"/>
                <w:sz w:val="24"/>
                <w:szCs w:val="24"/>
                <w:lang w:eastAsia="es-CR"/>
              </w:rPr>
              <w:br/>
            </w:r>
            <w:hyperlink r:id="rId10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tercera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Revocatoria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91.-</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Cobertura y plazo. Cuando, por el monto, no proceda el recurso de apelación, podrá solicitarse la revocatoria del acto de adjudicación, dentro de los cinco días hábiles siguientes al día en que se comunicó. Sin embargo, cuando el jerarca del órgano o ente no haya adoptado el acto de adjudicación, el interesado podrá tramitar su recurso como apelación ante el jerarca respectivo. </w:t>
            </w:r>
            <w:r w:rsidRPr="0060552C">
              <w:rPr>
                <w:rFonts w:ascii="Arial" w:eastAsia="Times New Roman" w:hAnsi="Arial" w:cs="Arial"/>
                <w:sz w:val="24"/>
                <w:szCs w:val="24"/>
                <w:lang w:eastAsia="es-CR"/>
              </w:rPr>
              <w:br/>
            </w:r>
            <w:hyperlink r:id="rId10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Artículo 92.-Procedimiento del recurso.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lastRenderedPageBreak/>
              <w:t xml:space="preserve">El recurso seguirá los siguientes pasos: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a) Se presentará ante el mismo órgano que dictó el acto.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b) Para legitimar y fundamentar, la revocatoria se regirá por las reglas de la apelación.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c) Si no resulta improcedente en forma manifiesta, la Administración notificará a la parte adjudicada, a más tardar cuarenta y ocho horas después de la presentación para que se pronuncie sobre el recurso en un plazo de tres días hábiles.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d) La Administración deberá resolver dentro del plazo de los quince días hábiles siguientes a la contestación del recurso.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e) La resolución que dicte la Administración dará por agotada la vía administrativa; sin embargo, podrá ser impugnada, sin efecto suspensivo, dentro de los tres días siguientes a su comunicación, por medio del proceso especial regulado en los Artículos 89 y 90 de la Ley Reguladora de la Jurisdicción </w:t>
            </w:r>
            <w:r w:rsidRPr="0060552C">
              <w:rPr>
                <w:rFonts w:ascii="Arial" w:eastAsia="Times New Roman" w:hAnsi="Arial" w:cs="Arial"/>
                <w:sz w:val="24"/>
                <w:szCs w:val="24"/>
                <w:lang w:val="es-ES" w:eastAsia="es-ES"/>
              </w:rPr>
              <w:lastRenderedPageBreak/>
              <w:t xml:space="preserve">Contencioso-Administrativa.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f) Si la contratación, cuya adjudicación se impugna, ha sido ejecutada o se encuentra en curso de ejecución, la sentencia favorable al accionante solo podrá reconocer el pago de los daños y perjuicios causados.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0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CAPITULO X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Sanciones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primera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Generalidades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93.-</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Procedimiento de sanción. Las sanciones comprendidas en este capítulo se impondrán después de que se cumpla con las garantías </w:t>
            </w:r>
            <w:r w:rsidRPr="0060552C">
              <w:rPr>
                <w:rFonts w:ascii="Arial" w:eastAsia="Times New Roman" w:hAnsi="Arial" w:cs="Arial"/>
                <w:sz w:val="24"/>
                <w:szCs w:val="24"/>
                <w:lang w:eastAsia="es-CR"/>
              </w:rPr>
              <w:lastRenderedPageBreak/>
              <w:t xml:space="preserve">procedimentales, en vigencia en el ente u órgano respectivo. Si para un caso particular no existe un procedimiento que permita la debida defensa, se aplicarán las disposiciones relativas al procedimiento ordinario, contenidas en el Libro Segundo de la Ley General de la Administración Pública. </w:t>
            </w:r>
            <w:r w:rsidRPr="0060552C">
              <w:rPr>
                <w:rFonts w:ascii="Arial" w:eastAsia="Times New Roman" w:hAnsi="Arial" w:cs="Arial"/>
                <w:sz w:val="24"/>
                <w:szCs w:val="24"/>
                <w:lang w:eastAsia="es-CR"/>
              </w:rPr>
              <w:br/>
            </w:r>
            <w:hyperlink r:id="rId103"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94.-</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Responsabilidad penal y patrimonial. La aplicación de las sanciones administrativas previstas en este capítulo no excluye de las eventuales sanciones penales por conductas en que hayan incurrido los funcionarios públicos o los particulares. Tampoco excluye la posibilidad de exigir la responsabilidad, por daños y perjuicios ocasionados a la Administración. </w:t>
            </w:r>
            <w:r w:rsidRPr="0060552C">
              <w:rPr>
                <w:rFonts w:ascii="Arial" w:eastAsia="Times New Roman" w:hAnsi="Arial" w:cs="Arial"/>
                <w:sz w:val="24"/>
                <w:szCs w:val="24"/>
                <w:lang w:eastAsia="es-CR"/>
              </w:rPr>
              <w:br/>
            </w:r>
            <w:hyperlink r:id="rId104"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ES" w:eastAsia="es-ES"/>
              </w:rPr>
              <w:t>Sección segunda</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b/>
                <w:sz w:val="24"/>
                <w:szCs w:val="24"/>
                <w:lang w:val="es-ES" w:eastAsia="es-ES"/>
              </w:rPr>
              <w:t>Sanciones a funcionarios públicos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Artículo 95.-Sanciones a funcionarios cubiertos por prohibición Los funcionarios públicos cubiertos por la prohibición dispuesta en el inciso a) del Artículo 22 de esta ley, que participen, directa o indirectamente, en un procedimiento de contratación administrativa incurrirán en una falta grave de servicio. La autoridad competente deberá conocer de esta falta y adoptar las medidas que correspondan.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Si un diputado o un ministro </w:t>
            </w:r>
            <w:proofErr w:type="gramStart"/>
            <w:r w:rsidRPr="0060552C">
              <w:rPr>
                <w:rFonts w:ascii="Arial" w:eastAsia="Times New Roman" w:hAnsi="Arial" w:cs="Arial"/>
                <w:sz w:val="24"/>
                <w:szCs w:val="24"/>
                <w:lang w:val="es-ES" w:eastAsia="es-ES"/>
              </w:rPr>
              <w:t>infringe</w:t>
            </w:r>
            <w:proofErr w:type="gramEnd"/>
            <w:r w:rsidRPr="0060552C">
              <w:rPr>
                <w:rFonts w:ascii="Arial" w:eastAsia="Times New Roman" w:hAnsi="Arial" w:cs="Arial"/>
                <w:sz w:val="24"/>
                <w:szCs w:val="24"/>
                <w:lang w:val="es-ES" w:eastAsia="es-ES"/>
              </w:rPr>
              <w:t xml:space="preserve"> esta prohibición, se estará a lo previsto en el párrafo final del Artículo 112 de la Constitución </w:t>
            </w:r>
            <w:r w:rsidRPr="0060552C">
              <w:rPr>
                <w:rFonts w:ascii="Arial" w:eastAsia="Times New Roman" w:hAnsi="Arial" w:cs="Arial"/>
                <w:sz w:val="24"/>
                <w:szCs w:val="24"/>
                <w:lang w:val="es-ES" w:eastAsia="es-ES"/>
              </w:rPr>
              <w:lastRenderedPageBreak/>
              <w:t xml:space="preserve">Política.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Si alguno de los funcionarios contemplados en el inciso b) del Artículo 22 de esta ley comete la infracción, incurrirá en causal de despido sin responsabilidad patronal.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sz w:val="24"/>
                <w:szCs w:val="24"/>
                <w:lang w:val="es-ES" w:eastAsia="es-ES"/>
              </w:rPr>
              <w:t xml:space="preserve">(Así reformado por el inciso m) del artículo 1º de la ley Nº 7612 de 22 de julio de 1996)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0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Artículo 96.-Otras sanciones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 impondrá la sanción de apercibimiento escrito, al funcionario que incurra en alguna de las siguientes infracciones: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a) No incorporar oportunamente, debiendo hacerlo, documentación atinente al expediente administrativo.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b) Impedir o dificultar de manera injustificada el acceso a un expediente administrativo, de cuyo manejo o custodia esté encargado.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t xml:space="preserve">c) No incluir en un informe o dictamen datos relevantes para el estudio de las ofertas, cuando se determine que los conocía al rendir su dictamen.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d) Retrasar injustificadamente el trámite de pagos que deba cubrir la Administración a sus proveedores o contratistas.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e) Retrasar de modo injustificado la recepción de bienes u obras.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f) En general, incumplir los plazos que esta Ley prevé para el dictado o la ejecución de los actos administrativos.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eastAsia="es-CR"/>
              </w:rPr>
              <w:t>(Así reformado el inciso anterior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g) No atender ni responder a tiempo e injustificadamente una prevención hecha por la Contraloría General de la República en el ejercicio de sus funciones.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h) Faltar al deber de diligencia esperada de sus condiciones personales y del puesto que ocupa, ya sea por culpa, imprudencia o impericia causando un daño real a los particulares o a la Administración, durante un procedimiento de contratación, siempre que la gravedad de las circunstancias y la cuantía del daño no ameriten una sanción mayor.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i) No publicar el encargado de hacerlo, en el tiempo debido, el programa de adquisiciones según se dispone en el artículo 6 de </w:t>
            </w:r>
            <w:r w:rsidRPr="0060552C">
              <w:rPr>
                <w:rFonts w:ascii="Arial" w:eastAsia="Times New Roman" w:hAnsi="Arial" w:cs="Arial"/>
                <w:sz w:val="24"/>
                <w:szCs w:val="24"/>
                <w:lang w:eastAsia="es-CR"/>
              </w:rPr>
              <w:lastRenderedPageBreak/>
              <w:t xml:space="preserve">la presente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j) No enviar a la Contraloría General de la República, en el plazo establecido, los informes mencionados en el artículo 101 de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eastAsia="es-CR"/>
              </w:rPr>
              <w:t>(Así reformado por el artículo 1º, inciso n), de la ley Nº 7612 de 22 de julio de 1996)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10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ARTICULO 96 bis.-</w:t>
            </w:r>
            <w:r w:rsidRPr="0060552C">
              <w:rPr>
                <w:rFonts w:ascii="Arial" w:eastAsia="Times New Roman" w:hAnsi="Arial" w:cs="Arial"/>
                <w:color w:val="000000"/>
                <w:sz w:val="24"/>
                <w:szCs w:val="24"/>
                <w:lang w:val="es-MX" w:eastAsia="es-CR"/>
              </w:rPr>
              <w:t xml:space="preserve"> Suspensión sin goce de salario.   Se impondrá suspensión sin goce de salario hasta por tres meses, al funcionario público que cometa alguna de las siguientes infracciones: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MX" w:eastAsia="es-CR"/>
              </w:rPr>
              <w:t xml:space="preserve">a) Incurrir, dentro de los dos años siguientes a la firmeza de la sanción respectiva, en nueva infracción de la misma naturaleza, pese a estar apercibido conforme a los términos del primer párrafo del Artículo 96.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MX" w:eastAsia="es-CR"/>
              </w:rPr>
              <w:t xml:space="preserve">b) Dar por recibidos bienes, obras o servicios que no se ajusten a lo adjudicado, sin advertirlo expresamente a sus superiores.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MX" w:eastAsia="es-CR"/>
              </w:rPr>
              <w:t xml:space="preserve">c) Recomendar la contratación con una persona física o jurídica comprendida en el régimen de prohibiciones para contratar </w:t>
            </w:r>
            <w:r w:rsidRPr="0060552C">
              <w:rPr>
                <w:rFonts w:ascii="Arial" w:eastAsia="Times New Roman" w:hAnsi="Arial" w:cs="Arial"/>
                <w:color w:val="000000"/>
                <w:sz w:val="24"/>
                <w:szCs w:val="24"/>
                <w:lang w:val="es-MX" w:eastAsia="es-CR"/>
              </w:rPr>
              <w:lastRenderedPageBreak/>
              <w:t>establecido en el Artículo 22 de esta ley, siempre que haya conocido esta circunstancia antes de la recomendación.</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color w:val="000000"/>
                <w:sz w:val="24"/>
                <w:szCs w:val="24"/>
                <w:lang w:val="es-MX" w:eastAsia="es-CR"/>
              </w:rPr>
              <w:t>d) Propiciar o disponer la fragmentación ilegal de operaciones, tramitando contratos que, por su monto, impliquen un procedimiento más riguroso que el seguido al dividir dichas operaciones o promover una contratación irregular.</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color w:val="000000"/>
                <w:sz w:val="24"/>
                <w:szCs w:val="24"/>
                <w:lang w:val="es-MX" w:eastAsia="es-CR"/>
              </w:rPr>
              <w:t xml:space="preserve"> (Así adicionado el inciso anterior por el artículo 3°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iCs/>
                <w:color w:val="000000"/>
                <w:sz w:val="24"/>
                <w:szCs w:val="24"/>
                <w:lang w:val="es-MX" w:eastAsia="es-CR"/>
              </w:rPr>
              <w:t xml:space="preserve">(Así adicionado por el inciso n) del artículo 1° de la ley Nº 7612 de 22 de julio de 1996)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0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Artículo 96 ter.-Despido sin responsabilidad patronal Incurrirá en causal de despido sin responsabilidad patronal, el servidor público que cometa alguna de las siguientes faltas: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a) Incurrir, después de haber sido sancionado según los términos del Artículo 96 </w:t>
            </w:r>
            <w:proofErr w:type="gramStart"/>
            <w:r w:rsidRPr="0060552C">
              <w:rPr>
                <w:rFonts w:ascii="Arial" w:eastAsia="Times New Roman" w:hAnsi="Arial" w:cs="Arial"/>
                <w:sz w:val="24"/>
                <w:szCs w:val="24"/>
                <w:lang w:val="es-ES" w:eastAsia="es-ES"/>
              </w:rPr>
              <w:t>bis</w:t>
            </w:r>
            <w:proofErr w:type="gramEnd"/>
            <w:r w:rsidRPr="0060552C">
              <w:rPr>
                <w:rFonts w:ascii="Arial" w:eastAsia="Times New Roman" w:hAnsi="Arial" w:cs="Arial"/>
                <w:sz w:val="24"/>
                <w:szCs w:val="24"/>
                <w:lang w:val="es-ES" w:eastAsia="es-ES"/>
              </w:rPr>
              <w:t xml:space="preserve">, dentro de los dos años siguientes a la firmeza de la sanción respectiva, en una nueva infracción de las contempladas allí.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b) Suministrar a un oferente información que le dé ventaja sobre el resto de proveedores potenciales.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c) Recibir dádivas, comisiones o regalías, de los proveedores ordinarios o potenciales del ente en el cual labora o solicitárselas.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d) Hacer que la Administración incurra en pérdidas patrimoniales mayores que el monto equivalente a doce meses del salario devengado por el funcionario responsable en el momento de cometer la falta, si realiza la acción con dolo, culpa grave o negligencia en el trámite del procedimiento para contratar o en el control de su ejecución. El despido procederá sin perjuicio de la responsabilidad de indemnizar que deberá ejercerse.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sz w:val="24"/>
                <w:szCs w:val="24"/>
                <w:lang w:val="es-ES" w:eastAsia="es-ES"/>
              </w:rPr>
              <w:t xml:space="preserve">(Así adicionado por el inciso n) del  artículo 1º  de la ley No.7612 de 22 de julio de 1996)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0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t>ARTICULO 97.-</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Sanción por recibo de beneficios. Incurrirá en falta grave de servicio, sancionable de acuerdo con el régimen de la institución u órgano correspondiente, el funcionario público que participe en actividades organizadas o patrocinadas por los proveedores, ordinarios o potenciales, dentro o fuera del país, cuando no formen parte de los compromisos de capacitación, formalmente adquiridos en contrataciones administrativas, o no sean parte del proceso de valoración objetiva de las ofertas. Dentro del alcance de esta infracción, se incluye la asistencia a congresos, seminarios o cualquier otra actividad, por cuenta de un proveedor; excepto si forma parte de los planes de capacitación ordinarios o las actividades autorizadas expresamente por el superior jerárquico, en forma razonada, con la cual demuestre el beneficio para la Administración. </w:t>
            </w:r>
            <w:r w:rsidRPr="0060552C">
              <w:rPr>
                <w:rFonts w:ascii="Arial" w:eastAsia="Times New Roman" w:hAnsi="Arial" w:cs="Arial"/>
                <w:sz w:val="24"/>
                <w:szCs w:val="24"/>
                <w:lang w:eastAsia="es-CR"/>
              </w:rPr>
              <w:br/>
            </w:r>
            <w:hyperlink r:id="rId10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Artículo 97 bis.-</w:t>
            </w:r>
            <w:r w:rsidRPr="0060552C">
              <w:rPr>
                <w:rFonts w:ascii="Arial" w:eastAsia="Times New Roman" w:hAnsi="Arial" w:cs="Arial"/>
                <w:b/>
                <w:bCs/>
                <w:sz w:val="24"/>
                <w:szCs w:val="24"/>
                <w:lang w:eastAsia="es-CR"/>
              </w:rPr>
              <w:t>Exclusión del oferente</w:t>
            </w:r>
            <w:r w:rsidRPr="0060552C">
              <w:rPr>
                <w:rFonts w:ascii="Arial" w:eastAsia="Times New Roman" w:hAnsi="Arial" w:cs="Arial"/>
                <w:sz w:val="24"/>
                <w:szCs w:val="24"/>
                <w:lang w:eastAsia="es-CR"/>
              </w:rPr>
              <w:t xml:space="preserve">. Si las faltas referidas en los Artículos 96 ter y 97, se producen cuando se encuentra en trámite un procedimiento de contratación, el oferente que con su participación haya contribuido en esas infracciones, directa o indirectamente, será excluido del concurso o, en su caso, se anulará la adjudicación respectiva, independientemente de si existió favorecimiento. </w:t>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t>(Así adicionado por el artículo 65 de la Ley N° 8422 Ley contra la Corrupción y el Enriquecimiento Ilícito en la Función Pública, de 6 de octubre de 2004).</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br/>
            </w:r>
            <w:r w:rsidRPr="0060552C">
              <w:rPr>
                <w:rFonts w:ascii="Arial" w:eastAsia="Times New Roman" w:hAnsi="Arial" w:cs="Arial"/>
                <w:i/>
                <w:iCs/>
                <w:sz w:val="24"/>
                <w:szCs w:val="24"/>
                <w:lang w:eastAsia="es-CR"/>
              </w:rPr>
              <w:br/>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  </w:t>
            </w:r>
            <w:r w:rsidRPr="0060552C">
              <w:rPr>
                <w:rFonts w:ascii="Arial" w:eastAsia="Times New Roman" w:hAnsi="Arial" w:cs="Arial"/>
                <w:sz w:val="24"/>
                <w:szCs w:val="24"/>
                <w:lang w:eastAsia="es-CR"/>
              </w:rPr>
              <w:br/>
            </w:r>
            <w:hyperlink r:id="rId11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lastRenderedPageBreak/>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98.-</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Remisión al régimen disciplinario. Cualquier otra irregularidad en que incurran los funcionarios públicos, en el curso de los procedimientos de contratación administrativa, será sancionada conforme al régimen de personal de cada órgano o ente. </w:t>
            </w:r>
            <w:r w:rsidRPr="0060552C">
              <w:rPr>
                <w:rFonts w:ascii="Arial" w:eastAsia="Times New Roman" w:hAnsi="Arial" w:cs="Arial"/>
                <w:sz w:val="24"/>
                <w:szCs w:val="24"/>
                <w:lang w:eastAsia="es-CR"/>
              </w:rPr>
              <w:br/>
            </w:r>
            <w:hyperlink r:id="rId11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tercera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Sanciones a particulares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Artículo 99.-</w:t>
            </w:r>
            <w:r w:rsidRPr="0060552C">
              <w:rPr>
                <w:rFonts w:ascii="Arial" w:eastAsia="Times New Roman" w:hAnsi="Arial" w:cs="Arial"/>
                <w:b/>
                <w:bCs/>
                <w:sz w:val="24"/>
                <w:szCs w:val="24"/>
                <w:lang w:eastAsia="es-CR"/>
              </w:rPr>
              <w:t>Sanción de apercibimiento.</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 hará acreedora a la sanción de apercibimiento, por parte de la Administración o la Contraloría General de la República, la persona física o jurídica que, durante el curso de los procedimientos para contratar, incurra en las siguientes conductas: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a) El contratista que, sin motivo suficiente, incumpla o cumpla defectuosa o tardíamente con el objeto del contrato; sin perjuicio de la ejecución de las garantías de participación o cumplimiento.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b) Quien afecte, reiteradamente, el normal desarrollo de los </w:t>
            </w:r>
            <w:r w:rsidRPr="0060552C">
              <w:rPr>
                <w:rFonts w:ascii="Arial" w:eastAsia="Times New Roman" w:hAnsi="Arial" w:cs="Arial"/>
                <w:sz w:val="24"/>
                <w:szCs w:val="24"/>
                <w:lang w:eastAsia="es-CR"/>
              </w:rPr>
              <w:lastRenderedPageBreak/>
              <w:t xml:space="preserve">procedimientos de contratación.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c) Quien deje sin efecto su propuesta, sin mediar una causa justa, en los casos en que se haya requerido garantía de participación.</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w:t>
            </w:r>
            <w:r w:rsidRPr="0060552C">
              <w:rPr>
                <w:rFonts w:ascii="Arial" w:eastAsia="Times New Roman" w:hAnsi="Arial" w:cs="Arial"/>
                <w:i/>
                <w:iCs/>
                <w:color w:val="000000"/>
                <w:sz w:val="24"/>
                <w:szCs w:val="24"/>
                <w:lang w:val="es-MX" w:eastAsia="es-CR"/>
              </w:rPr>
              <w:t>Así reformado el inciso anterior por el artículo 1° aparte c) de la ley N° 8701 del 13 de enero de 2009)</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d) </w:t>
            </w:r>
            <w:r w:rsidRPr="0060552C">
              <w:rPr>
                <w:rFonts w:ascii="Arial" w:eastAsia="Times New Roman" w:hAnsi="Arial" w:cs="Arial"/>
                <w:i/>
                <w:iCs/>
                <w:sz w:val="24"/>
                <w:szCs w:val="24"/>
                <w:lang w:eastAsia="es-CR"/>
              </w:rPr>
              <w:t>(Derogado por el artículo 3° de la ley N° 8701 del 13 de enero de 2009)</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1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adjustRightInd w:val="0"/>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eastAsia="es-CR"/>
              </w:rPr>
              <w:t>Artículo</w:t>
            </w:r>
            <w:r w:rsidRPr="0060552C">
              <w:rPr>
                <w:rFonts w:ascii="Arial" w:eastAsia="Times New Roman" w:hAnsi="Arial" w:cs="Arial"/>
                <w:sz w:val="24"/>
                <w:szCs w:val="24"/>
                <w:lang w:val="es-MX" w:eastAsia="es-CR"/>
              </w:rPr>
              <w:t xml:space="preserve"> 100.-Sanción de Inhabilitación.   La Administración o la Contraloría General de la República inhabilitarán para participar en procedimientos de contratación administrativa, por un período de dos a diez años, según la gravedad de la falta, a la persona física o jurídica que incurra en las conductas descritas a continuación: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reformado el párrafo anterior por el artículo único de la ley Nº 8439 del 13 de abril del 2005)</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 a) </w:t>
            </w:r>
            <w:r w:rsidRPr="0060552C">
              <w:rPr>
                <w:rFonts w:ascii="Arial" w:eastAsia="Times New Roman" w:hAnsi="Arial" w:cs="Arial"/>
                <w:sz w:val="24"/>
                <w:szCs w:val="24"/>
                <w:lang w:val="es-ES_tradnl" w:eastAsia="es-CR"/>
              </w:rPr>
              <w:t>Después del apercibimiento previsto en el Artículo anterior, reincida en la misma conducta, con idéntico bien o producto, dentro de los tres</w:t>
            </w:r>
            <w:r w:rsidRPr="0060552C">
              <w:rPr>
                <w:rFonts w:ascii="Arial" w:eastAsia="Times New Roman" w:hAnsi="Arial" w:cs="Arial"/>
                <w:sz w:val="24"/>
                <w:szCs w:val="24"/>
                <w:lang w:val="es-MX" w:eastAsia="es-CR"/>
              </w:rPr>
              <w:t xml:space="preserve"> años siguientes a la sanción. En todos los casos, la inhabilitación se dictará exclusivamente para participar ofreciendo el mismo producto o bien objeto del contrato por el cual fue sancionado previamente. En caso de contratos de obra o servicios, la inhabilitación se aplicará al </w:t>
            </w:r>
            <w:r w:rsidRPr="0060552C">
              <w:rPr>
                <w:rFonts w:ascii="Arial" w:eastAsia="Times New Roman" w:hAnsi="Arial" w:cs="Arial"/>
                <w:sz w:val="24"/>
                <w:szCs w:val="24"/>
                <w:lang w:val="es-ES_tradnl" w:eastAsia="es-CR"/>
              </w:rPr>
              <w:t>contratista en general.</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eastAsia="es-CR"/>
              </w:rPr>
              <w:t>(Así reformado el inciso anterior por el artículo 1° aparte d) de la ley N° 8701 del 13 de enero de 2009) </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b) Obtenga ilegalmente información confidencial que la coloque en una situación de ventaja, a ella, a la empresa de su propiedad o a la empresa para la cual labora, respecto de otros competidores potenciales.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c) Suministre, directamente o por intermedio de otra persona, dádivas a los funcionarios involucrados en un procedimiento de contratación administrativa. En este caso, la inhabilitación será por el máximo del período establecido.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 xml:space="preserve">(Así reformado el inciso anterior por el artículo único de la Ley N° 8439 del 13 de abril del 2005)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d) Suministre un objeto, servicio u obra de inferior condición o calidad del ofrecido.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e) Contrate o subcontrate obras, maquinaria, equipo, instalaciones o materiales, para ejecutar obras públicas adjudicadas mediante licitación, con empresas o grupos de empresas relacionadas, diferentes de las que señala el listado de subcontratación presentado con la oferta según el Artículo 58 de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 xml:space="preserve">(Así adicionado el inciso anterior por el inciso ñ) del artículo 1° de la ley Nº 7612 de 22 de julio de 1996)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f) Participe, directa o indirectamente, en un procedimiento de contratación, pese a estar cubierta por el régimen de prohibiciones del Artículo 22 de esta ley.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 xml:space="preserve">(Así adicionado el inciso anterior por el  inciso ñ) del artículo 1° de la ley Nº 7612 de 22 de julio de 1996)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g) Sin motivo comprobado de caso fortuito o fuerza mayor, no inicie las labores propias de la obra de que se trate, dentro del mes siguiente al refrendo del contrato respectivo por parte de la Contraloría General de la </w:t>
            </w:r>
            <w:proofErr w:type="gramStart"/>
            <w:r w:rsidRPr="0060552C">
              <w:rPr>
                <w:rFonts w:ascii="Arial" w:eastAsia="Times New Roman" w:hAnsi="Arial" w:cs="Arial"/>
                <w:sz w:val="24"/>
                <w:szCs w:val="24"/>
                <w:lang w:val="es-MX" w:eastAsia="es-CR"/>
              </w:rPr>
              <w:t>República ,</w:t>
            </w:r>
            <w:proofErr w:type="gramEnd"/>
            <w:r w:rsidRPr="0060552C">
              <w:rPr>
                <w:rFonts w:ascii="Arial" w:eastAsia="Times New Roman" w:hAnsi="Arial" w:cs="Arial"/>
                <w:sz w:val="24"/>
                <w:szCs w:val="24"/>
                <w:lang w:val="es-MX" w:eastAsia="es-CR"/>
              </w:rPr>
              <w:t xml:space="preserve"> sin perjuicio de  la ejecución de la garantía correspondiente o de otro tipo de responsabilidades legales que quepan.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 xml:space="preserve">(Así adicionado el inciso anterior por el artículo único de la  ley N° 8291 de 23 de julio del 2002)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 xml:space="preserve">h) Deje sin efecto su propuesta sin mediar una causa justa, en los casos en que no se haya requerido garantía de </w:t>
            </w:r>
            <w:r w:rsidRPr="0060552C">
              <w:rPr>
                <w:rFonts w:ascii="Arial" w:eastAsia="Times New Roman" w:hAnsi="Arial" w:cs="Arial"/>
                <w:sz w:val="24"/>
                <w:szCs w:val="24"/>
                <w:lang w:val="es-MX" w:eastAsia="es-CR"/>
              </w:rPr>
              <w:lastRenderedPageBreak/>
              <w:t>participación.</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val="es-MX" w:eastAsia="es-CR"/>
              </w:rPr>
              <w:t>(Así adicionado el inciso anterior por el artículo 3°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i) Quien invoque o introduzca hechos falsos en los procedimientos para contratar o en los recursos contra el acto de adjudicación.</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left="708"/>
              <w:jc w:val="both"/>
              <w:rPr>
                <w:rFonts w:ascii="Arial" w:eastAsia="Times New Roman" w:hAnsi="Arial" w:cs="Arial"/>
                <w:sz w:val="24"/>
                <w:szCs w:val="24"/>
                <w:lang w:eastAsia="es-CR"/>
              </w:rPr>
            </w:pPr>
            <w:r w:rsidRPr="0060552C">
              <w:rPr>
                <w:rFonts w:ascii="Arial" w:eastAsia="Times New Roman" w:hAnsi="Arial" w:cs="Arial"/>
                <w:i/>
                <w:iCs/>
                <w:sz w:val="24"/>
                <w:szCs w:val="24"/>
                <w:lang w:val="es-ES_tradnl" w:eastAsia="es-CR"/>
              </w:rPr>
              <w:t>(Así adicionado el inciso anterior por el artículo 2° aparte b) de la ley N° 8701 del 13 de enero de 2009)</w:t>
            </w:r>
            <w:r w:rsidRPr="0060552C">
              <w:rPr>
                <w:rFonts w:ascii="Arial" w:eastAsia="Times New Roman" w:hAnsi="Arial" w:cs="Arial"/>
                <w:sz w:val="24"/>
                <w:szCs w:val="24"/>
                <w:lang w:eastAsia="es-CR"/>
              </w:rPr>
              <w:t xml:space="preserve"> </w:t>
            </w:r>
            <w:r w:rsidRPr="0060552C">
              <w:rPr>
                <w:rFonts w:ascii="Arial" w:eastAsia="Times New Roman" w:hAnsi="Arial" w:cs="Arial"/>
                <w:sz w:val="24"/>
                <w:szCs w:val="24"/>
                <w:lang w:val="es-ES_tradnl"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13"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b/>
                <w:bCs/>
                <w:sz w:val="24"/>
                <w:szCs w:val="24"/>
                <w:lang w:val="es-ES_tradnl" w:eastAsia="es-CR"/>
              </w:rPr>
              <w:t xml:space="preserve">    </w:t>
            </w:r>
            <w:r w:rsidRPr="0060552C">
              <w:rPr>
                <w:rFonts w:ascii="Arial" w:eastAsia="Times New Roman" w:hAnsi="Arial" w:cs="Arial"/>
                <w:b/>
                <w:bCs/>
                <w:sz w:val="24"/>
                <w:szCs w:val="24"/>
                <w:u w:val="single"/>
                <w:lang w:val="es-ES_tradnl" w:eastAsia="es-CR"/>
              </w:rPr>
              <w:t>Artículo 100 bis.-</w:t>
            </w:r>
            <w:r w:rsidRPr="0060552C">
              <w:rPr>
                <w:rFonts w:ascii="Arial" w:eastAsia="Times New Roman" w:hAnsi="Arial" w:cs="Arial"/>
                <w:b/>
                <w:bCs/>
                <w:sz w:val="24"/>
                <w:szCs w:val="24"/>
                <w:lang w:val="es-ES_tradnl" w:eastAsia="es-CR"/>
              </w:rPr>
              <w:t>      Ámbito de cobertura y prescripción</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La sanción de inhabilitación, según la causal que la genere, tendrá dos grados de cobertura.</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    En el caso de las causales incluidas en los incisos a), d), e), g) y h) del artículo 100 de esta Ley, la sanción cubrirá los procedimientos tramitados por la entidad que impuso la sanción, incluidos todos los órganos desconcentrados que la componen. Si, posteriormente, una persona física o jurídica es inhabilitada otra vez por la misma entidad, la nueva sanción cubrirá a toda la Administración Pública. </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lastRenderedPageBreak/>
              <w:t>    En los supuestos fundamentados en los incisos b), c), f) e i) del artículo 100 de esta Ley, la sanción cubre las contrataciones que se realicen en toda la Administración Pública , independientemente de quién haya impuesto la sanción.</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El período de prescripción para la sanción será de tres años, contados desde el momento en el que se haya dado la conducta señalada en el artículo 99 o en los incisos d), e), g) y h) del artículo 100 de esta Ley. Para la conducta señalada en el inciso a) del artículo 100, será de cinco años.</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Si se trata de inhabilitación con fundamento en los incisos b), c), f) e i) del artículo 100 de esta Ley, el período de prescripción será de cinco años, pero contabilizado desde el momento en que la situación que genera la sanción se haya puesto en conocimiento del órgano que tiene competencia para sancionar.</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val="es-ES_tradnl" w:eastAsia="es-CR"/>
              </w:rPr>
              <w:t xml:space="preserve">    Excepcionalmente la Administración podrá contratar con una persona jurídica o física que se encuentre inhabilitada por las causales establecidas en los incisos a), d), e), g) y h) del artículo 100 de esta Ley. Para ello, deberá solicitar autorización a la Contraloría General de la </w:t>
            </w:r>
            <w:proofErr w:type="gramStart"/>
            <w:r w:rsidRPr="0060552C">
              <w:rPr>
                <w:rFonts w:ascii="Arial" w:eastAsia="Times New Roman" w:hAnsi="Arial" w:cs="Arial"/>
                <w:sz w:val="24"/>
                <w:szCs w:val="24"/>
                <w:lang w:val="es-ES_tradnl" w:eastAsia="es-CR"/>
              </w:rPr>
              <w:t>República ,</w:t>
            </w:r>
            <w:proofErr w:type="gramEnd"/>
            <w:r w:rsidRPr="0060552C">
              <w:rPr>
                <w:rFonts w:ascii="Arial" w:eastAsia="Times New Roman" w:hAnsi="Arial" w:cs="Arial"/>
                <w:sz w:val="24"/>
                <w:szCs w:val="24"/>
                <w:lang w:val="es-ES_tradnl" w:eastAsia="es-CR"/>
              </w:rPr>
              <w:t xml:space="preserve"> acreditando que la persona inhabilitada es la única que puede satisfacer el objeto contractual requerido y que, de no hacerlo, se estaría ante una grave afectación del interés público. La Contraloría General de la República deberá resolver en el plazo de diez (10) días hábiles y podrá ordenarle a la administración que le exija al contratista una garantía de cumplimiento superior al diez por ciento (10%) del monto del contrato.</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i/>
                <w:iCs/>
                <w:sz w:val="24"/>
                <w:szCs w:val="24"/>
                <w:lang w:eastAsia="es-CR"/>
              </w:rPr>
              <w:t>(Así adicionado por el artículo 2° aparte c) de la ley N° 8701 del 13 de enero de 2009)</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14"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CAPITULO XI</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MX" w:eastAsia="es-CR"/>
              </w:rPr>
              <w:t>Control</w:t>
            </w:r>
            <w:r w:rsidRPr="0060552C">
              <w:rPr>
                <w:rFonts w:ascii="Arial" w:eastAsia="Times New Roman" w:hAnsi="Arial" w:cs="Arial"/>
                <w:sz w:val="24"/>
                <w:szCs w:val="24"/>
                <w:lang w:eastAsia="es-CR"/>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Artículo 101.-</w:t>
            </w:r>
            <w:r w:rsidRPr="0060552C">
              <w:rPr>
                <w:rFonts w:ascii="Arial" w:eastAsia="Times New Roman" w:hAnsi="Arial" w:cs="Arial"/>
                <w:b/>
                <w:bCs/>
                <w:sz w:val="24"/>
                <w:szCs w:val="24"/>
                <w:lang w:val="es-MX" w:eastAsia="es-CR"/>
              </w:rPr>
              <w:t>Deber de informar</w:t>
            </w:r>
            <w:r w:rsidRPr="0060552C">
              <w:rPr>
                <w:rFonts w:ascii="Arial" w:eastAsia="Times New Roman" w:hAnsi="Arial" w:cs="Arial"/>
                <w:sz w:val="24"/>
                <w:szCs w:val="24"/>
                <w:lang w:val="es-MX" w:eastAsia="es-CR"/>
              </w:rPr>
              <w:t>. La administración remitirá, a la Contraloría General de la República, la información sobre su actividad contractual, en los términos y por los medios que el Órgano Contralor defina reglamentariamente, para los efectos del ejercicio de sus atribuciones de control y fiscalización.</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adjustRightInd w:val="0"/>
              <w:spacing w:before="100" w:beforeAutospacing="1" w:after="100" w:afterAutospacing="1" w:line="240" w:lineRule="auto"/>
              <w:ind w:firstLine="720"/>
              <w:jc w:val="both"/>
              <w:rPr>
                <w:rFonts w:ascii="Arial" w:eastAsia="Times New Roman" w:hAnsi="Arial" w:cs="Arial"/>
                <w:sz w:val="24"/>
                <w:szCs w:val="24"/>
                <w:lang w:eastAsia="es-CR"/>
              </w:rPr>
            </w:pPr>
            <w:r w:rsidRPr="0060552C">
              <w:rPr>
                <w:rFonts w:ascii="Arial" w:eastAsia="Verdana" w:hAnsi="Arial" w:cs="Arial"/>
                <w:i/>
                <w:iCs/>
                <w:sz w:val="24"/>
                <w:szCs w:val="24"/>
                <w:lang w:val="es-MX" w:eastAsia="es-ES"/>
              </w:rPr>
              <w:t>(</w:t>
            </w:r>
            <w:r w:rsidRPr="0060552C">
              <w:rPr>
                <w:rFonts w:ascii="Arial" w:eastAsia="Verdana" w:hAnsi="Arial" w:cs="Arial"/>
                <w:i/>
                <w:iCs/>
                <w:color w:val="000000"/>
                <w:sz w:val="24"/>
                <w:szCs w:val="24"/>
                <w:lang w:val="es-MX" w:eastAsia="es-ES"/>
              </w:rPr>
              <w:t>Así reformado mediante el artículo 1°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11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102.-</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Regulación del control. La Administración debe disponer las medidas necesarias para garantizar que se cumpla con el objeto de la contratación. Los entes y órganos de la Administración estarán obligados a prestarse colaboración recíproca, en las tareas conducentes a verificar el cumplimiento contractual. </w:t>
            </w:r>
            <w:r w:rsidRPr="0060552C">
              <w:rPr>
                <w:rFonts w:ascii="Arial" w:eastAsia="Times New Roman" w:hAnsi="Arial" w:cs="Arial"/>
                <w:sz w:val="24"/>
                <w:szCs w:val="24"/>
                <w:lang w:eastAsia="es-CR"/>
              </w:rPr>
              <w:br/>
            </w:r>
            <w:hyperlink r:id="rId11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CAPITULO XII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Proveeduría Nacional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103.-</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Naturaleza y funciones. La Proveeduría Nacional es un órgano técnico y consultivo del Ministerio de Hacienda, que tendrá dentro de sus funciones: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a) El trámite en todas sus etapas incluso la de adjudicación, de los procedimientos para contratar del Poder Ejecutivo que no estén asignados a proveedurías institucionales. b) Brindar asesoría a los sujetos públicos y privados, que desarrollan actividades de contratación administrativa. c) Evaluar las políticas y los procedimientos de contratación, con la finalidad de que se ajusten, constantemente, a satisfacer el interés público. d) Administrar el fondo circulante. e) Las que le asignen otras leyes o reglamentos. </w:t>
            </w:r>
            <w:r w:rsidRPr="0060552C">
              <w:rPr>
                <w:rFonts w:ascii="Arial" w:eastAsia="Times New Roman" w:hAnsi="Arial" w:cs="Arial"/>
                <w:sz w:val="24"/>
                <w:szCs w:val="24"/>
                <w:lang w:eastAsia="es-CR"/>
              </w:rPr>
              <w:br/>
            </w:r>
            <w:hyperlink r:id="rId11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104.-</w:t>
            </w: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Requisitos. El Proveedor Nacional es el Jefe de la Proveeduría Nacional. Su nombramiento corresponde al Poder Ejecutivo, de conformidad con esta Ley y las regulaciones del Estatuto de Servicio Civil. Para ser Proveedor Nacional se requiere: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a) Ser costarricense. b) Ser ciudadano en ejercicio. c) Ser licenciado en derecho, ciencias económicas u otra disciplina afín con el puesto. d) Poseer amplia experiencia administrativa. e) Ser de reconocida honorabilidad.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El Proveedor Nacional rendirá una garantía en favor del Estado, por el monto y en la forma que se establecerán reglamentariamente. Existirá un </w:t>
            </w:r>
            <w:proofErr w:type="spellStart"/>
            <w:r w:rsidRPr="0060552C">
              <w:rPr>
                <w:rFonts w:ascii="Arial" w:eastAsia="Times New Roman" w:hAnsi="Arial" w:cs="Arial"/>
                <w:sz w:val="24"/>
                <w:szCs w:val="24"/>
                <w:lang w:eastAsia="es-CR"/>
              </w:rPr>
              <w:t>Subproveedor</w:t>
            </w:r>
            <w:proofErr w:type="spellEnd"/>
            <w:r w:rsidRPr="0060552C">
              <w:rPr>
                <w:rFonts w:ascii="Arial" w:eastAsia="Times New Roman" w:hAnsi="Arial" w:cs="Arial"/>
                <w:sz w:val="24"/>
                <w:szCs w:val="24"/>
                <w:lang w:eastAsia="es-CR"/>
              </w:rPr>
              <w:t xml:space="preserve"> Nacional, que deberá reunir los mismos requisitos que su superior. </w:t>
            </w:r>
            <w:r w:rsidRPr="0060552C">
              <w:rPr>
                <w:rFonts w:ascii="Arial" w:eastAsia="Times New Roman" w:hAnsi="Arial" w:cs="Arial"/>
                <w:sz w:val="24"/>
                <w:szCs w:val="24"/>
                <w:lang w:eastAsia="es-CR"/>
              </w:rPr>
              <w:br/>
            </w:r>
            <w:hyperlink r:id="rId118"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CAPITULO XIII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Proveedurías institucionales y registro de proveedores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Sección primera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Proveedurías institucionales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105.-</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roofErr w:type="spellStart"/>
            <w:r w:rsidRPr="0060552C">
              <w:rPr>
                <w:rFonts w:ascii="Arial" w:eastAsia="Times New Roman" w:hAnsi="Arial" w:cs="Arial"/>
                <w:sz w:val="24"/>
                <w:szCs w:val="24"/>
                <w:lang w:eastAsia="es-CR"/>
              </w:rPr>
              <w:t>Organos</w:t>
            </w:r>
            <w:proofErr w:type="spellEnd"/>
            <w:r w:rsidRPr="0060552C">
              <w:rPr>
                <w:rFonts w:ascii="Arial" w:eastAsia="Times New Roman" w:hAnsi="Arial" w:cs="Arial"/>
                <w:sz w:val="24"/>
                <w:szCs w:val="24"/>
                <w:lang w:eastAsia="es-CR"/>
              </w:rPr>
              <w:t xml:space="preserve">. En cada uno de los órganos y sujetos públicos sometidos a los alcances de esta Ley, existirá una dependencia encargada de los procedimientos de contratación administrativa, con la organización y las funciones que, en cada caso, se determinarán por medio del reglamento. Cuando el volumen de las operaciones o la organización </w:t>
            </w:r>
            <w:r w:rsidRPr="0060552C">
              <w:rPr>
                <w:rFonts w:ascii="Arial" w:eastAsia="Times New Roman" w:hAnsi="Arial" w:cs="Arial"/>
                <w:sz w:val="24"/>
                <w:szCs w:val="24"/>
                <w:lang w:eastAsia="es-CR"/>
              </w:rPr>
              <w:lastRenderedPageBreak/>
              <w:t xml:space="preserve">territorial lo hagan necesario, podrá existir más de una unidad administrativa encargada de los procedimientos de contratación. El Poder Ejecutivo regulará, mediante decreto, la organización y el funcionamiento de las proveedurías institucionales que considere pertinente crear dentro del Gobierno Central. Esas proveedurías tendrán, para todos los efectos legales, las mismas funciones y competencias previstas en esta sección. </w:t>
            </w:r>
            <w:r w:rsidRPr="0060552C">
              <w:rPr>
                <w:rFonts w:ascii="Arial" w:eastAsia="Times New Roman" w:hAnsi="Arial" w:cs="Arial"/>
                <w:sz w:val="24"/>
                <w:szCs w:val="24"/>
                <w:lang w:eastAsia="es-CR"/>
              </w:rPr>
              <w:br/>
            </w:r>
            <w:hyperlink r:id="rId119"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Competencia. La proveeduría institucional tendrá plena competencia para conducir los trámites del procedimiento de contratación administrativa. Asimismo, podrá adoptar los actos y requerir los informes que resulten necesarios para preparar la decisión final. El acto de adjudicación lo dictará el órgano titular de la competencia. Los jerarcas de cada ministerio y de los demás entes y órganos a que se refiere el artículo 1º de esta Ley, tendrán plena capacidad para concertar y suscribir los documentos contractuales que se formalicen. </w:t>
            </w:r>
            <w:r w:rsidRPr="0060552C">
              <w:rPr>
                <w:rFonts w:ascii="Arial" w:eastAsia="Times New Roman" w:hAnsi="Arial" w:cs="Arial"/>
                <w:sz w:val="24"/>
                <w:szCs w:val="24"/>
                <w:lang w:eastAsia="es-CR"/>
              </w:rPr>
              <w:br/>
            </w:r>
            <w:hyperlink r:id="rId120"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107.-</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t xml:space="preserve">Control de inventarios. Cada Administración deberá llevar un inventario permanente de todos sus bienes. Las proveedurías de los órganos del Poder Central deberán remitir, a la Proveeduría Nacional, informes periódicos de los inventarios. </w:t>
            </w:r>
            <w:r w:rsidRPr="0060552C">
              <w:rPr>
                <w:rFonts w:ascii="Arial" w:eastAsia="Times New Roman" w:hAnsi="Arial" w:cs="Arial"/>
                <w:sz w:val="24"/>
                <w:szCs w:val="24"/>
                <w:lang w:eastAsia="es-CR"/>
              </w:rPr>
              <w:br/>
            </w:r>
            <w:hyperlink r:id="rId121"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t xml:space="preserve">Sección segunda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Registro de proveedores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ARTICULO 108.</w:t>
            </w:r>
            <w:proofErr w:type="gramStart"/>
            <w:r w:rsidRPr="0060552C">
              <w:rPr>
                <w:rFonts w:ascii="Arial" w:eastAsia="Times New Roman" w:hAnsi="Arial" w:cs="Arial"/>
                <w:sz w:val="24"/>
                <w:szCs w:val="24"/>
                <w:lang w:eastAsia="es-CR"/>
              </w:rPr>
              <w:t>-</w:t>
            </w:r>
            <w:r w:rsidRPr="0060552C">
              <w:rPr>
                <w:rFonts w:ascii="Arial" w:eastAsia="Times New Roman" w:hAnsi="Arial" w:cs="Arial"/>
                <w:i/>
                <w:iCs/>
                <w:sz w:val="24"/>
                <w:szCs w:val="24"/>
                <w:lang w:eastAsia="es-CR"/>
              </w:rPr>
              <w:t>(</w:t>
            </w:r>
            <w:proofErr w:type="gramEnd"/>
            <w:r w:rsidRPr="0060552C">
              <w:rPr>
                <w:rFonts w:ascii="Arial" w:eastAsia="Times New Roman" w:hAnsi="Arial" w:cs="Arial"/>
                <w:i/>
                <w:iCs/>
                <w:sz w:val="24"/>
                <w:szCs w:val="24"/>
                <w:lang w:eastAsia="es-CR"/>
              </w:rPr>
              <w:t>Derogado mediante el artículo 4° de la ley N° 8511 del 16 de mayo del 2006).</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hyperlink r:id="rId122"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sz w:val="24"/>
                <w:szCs w:val="24"/>
                <w:lang w:val="es-ES" w:eastAsia="es-ES"/>
              </w:rPr>
              <w:t>CAPITULO XIV</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center"/>
              <w:rPr>
                <w:rFonts w:ascii="Arial" w:eastAsia="Times New Roman" w:hAnsi="Arial" w:cs="Arial"/>
                <w:sz w:val="24"/>
                <w:szCs w:val="24"/>
                <w:lang w:eastAsia="es-CR"/>
              </w:rPr>
            </w:pPr>
            <w:r w:rsidRPr="0060552C">
              <w:rPr>
                <w:rFonts w:ascii="Arial" w:eastAsia="Times New Roman" w:hAnsi="Arial" w:cs="Arial"/>
                <w:b/>
                <w:sz w:val="24"/>
                <w:szCs w:val="24"/>
                <w:lang w:val="es-ES" w:eastAsia="es-ES"/>
              </w:rPr>
              <w:t>Reglamentación de esta Ley</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Artículo 109.-Reglamento.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El Poder Ejecutivo reglamentará esta Ley, dentro de los tres meses siguientes a su publicación.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Cada uno de los órganos o entes sujetos a la presente Ley podrá emitir los reglamentos complementarios, que se necesiten para el mejor desempeño de las actividades propias de la contratación administrativa.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ES" w:eastAsia="es-ES"/>
              </w:rPr>
              <w:t xml:space="preserve">La reglamentación ejecutiva, en materia de requisitos previos, </w:t>
            </w:r>
            <w:r w:rsidRPr="0060552C">
              <w:rPr>
                <w:rFonts w:ascii="Arial" w:eastAsia="Times New Roman" w:hAnsi="Arial" w:cs="Arial"/>
                <w:sz w:val="24"/>
                <w:szCs w:val="24"/>
                <w:lang w:val="es-ES" w:eastAsia="es-ES"/>
              </w:rPr>
              <w:lastRenderedPageBreak/>
              <w:t xml:space="preserve">garantías, prohibiciones, sanciones y recursos, estará fuera del alcance regulatorio de los entes sujetos a esta Ley. Para tales efectos, deberán acogerse plenamente al Reglamento que, acerca de esas materias, promulgue el Poder Ejecutivo.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iCs/>
                <w:sz w:val="24"/>
                <w:szCs w:val="24"/>
                <w:lang w:val="es-ES" w:eastAsia="es-ES"/>
              </w:rPr>
              <w:t xml:space="preserve">(Por resolución de la Sala Constitucional Nº 998 de las 11:30 </w:t>
            </w:r>
            <w:proofErr w:type="spellStart"/>
            <w:r w:rsidRPr="0060552C">
              <w:rPr>
                <w:rFonts w:ascii="Arial" w:eastAsia="Times New Roman" w:hAnsi="Arial" w:cs="Arial"/>
                <w:i/>
                <w:iCs/>
                <w:sz w:val="24"/>
                <w:szCs w:val="24"/>
                <w:lang w:val="es-ES" w:eastAsia="es-ES"/>
              </w:rPr>
              <w:t>hrs</w:t>
            </w:r>
            <w:proofErr w:type="spellEnd"/>
            <w:r w:rsidRPr="0060552C">
              <w:rPr>
                <w:rFonts w:ascii="Arial" w:eastAsia="Times New Roman" w:hAnsi="Arial" w:cs="Arial"/>
                <w:i/>
                <w:iCs/>
                <w:sz w:val="24"/>
                <w:szCs w:val="24"/>
                <w:lang w:val="es-ES" w:eastAsia="es-ES"/>
              </w:rPr>
              <w:t>. del 16 de febrero de 1998, se anuló el párrafo final de este Artículo, el cual disponía: " La falta de reglamentación especial, por parte de algún órgano o ente, la suplirá la vigencia del reglamento ejecutivo que se adopte.").</w:t>
            </w:r>
            <w:r w:rsidRPr="0060552C">
              <w:rPr>
                <w:rFonts w:ascii="Arial" w:eastAsia="Times New Roman" w:hAnsi="Arial" w:cs="Arial"/>
                <w:sz w:val="24"/>
                <w:szCs w:val="24"/>
                <w:lang w:val="es-ES" w:eastAsia="es-ES"/>
              </w:rPr>
              <w:t xml:space="preserve">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23"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110.-</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Reforma del Código Procesal Civil.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 xml:space="preserve">Se reforma el artículo 508 del Código Procesal Civil, cuyo texto dirá: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Artículo 508.- Facultad de los sujetos públicos de someter a arbitraje.</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El Estado, sus instituciones y las municipalidades también podrán someter a la decisión de árbitros o de peritos, conforme con los trámites de este capítulo, las pretensiones estrictamente patrimoniales en que figuren como partes interesadas".</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24"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color w:val="000000"/>
                <w:sz w:val="24"/>
                <w:szCs w:val="24"/>
                <w:lang w:eastAsia="es-CR"/>
              </w:rPr>
              <w:t xml:space="preserve">Artículo 111.-Disposiciones derogatorias.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color w:val="000000"/>
                <w:sz w:val="24"/>
                <w:szCs w:val="24"/>
                <w:lang w:eastAsia="es-CR"/>
              </w:rPr>
              <w:t xml:space="preserve">Se derogan los Artículos 88 a 98, 100 a 120 y 122 de la Ley de la Administración Financiera de la República, Nº 1279 del 2 de mayo de 1951; el Artículo 80 del Código Municipal Nº 4574 del 4 de mayo de 1970; el Artículo 7º de la Ley de Modernización del Sistema Financiero de la República, Nº 7107 del 4 de noviembre de 1988; el Artículo 9º de la Ley Nº 3226 del 28 de octubre de 1963; el Artículo 193 de la Ley General de la Administración Pública, ley Nº 6227 del 2 de mayo de 1978, Ley Nº 5501 del 7 de mayo de 1974 y la Ley de Beneficios Legales en Ajustes de Precios en la Contratación Administrativa, Nº 5518 del 7 de mayo de 1974.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color w:val="000000"/>
                <w:sz w:val="24"/>
                <w:szCs w:val="24"/>
                <w:lang w:eastAsia="es-CR"/>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jc w:val="both"/>
              <w:rPr>
                <w:rFonts w:ascii="Arial" w:eastAsia="Times New Roman" w:hAnsi="Arial" w:cs="Arial"/>
                <w:sz w:val="24"/>
                <w:szCs w:val="24"/>
                <w:lang w:eastAsia="es-CR"/>
              </w:rPr>
            </w:pPr>
            <w:r w:rsidRPr="0060552C">
              <w:rPr>
                <w:rFonts w:ascii="Arial" w:eastAsia="Times New Roman" w:hAnsi="Arial" w:cs="Arial"/>
                <w:i/>
                <w:color w:val="000000"/>
                <w:sz w:val="24"/>
                <w:szCs w:val="24"/>
                <w:lang w:eastAsia="es-CR"/>
              </w:rPr>
              <w:t>(Corregido mediante Fe de Erratas y publicada en "La Gaceta" Nº 120 del 23 de junio de 1995)</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25"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t>ARTICULO 112.-</w:t>
            </w:r>
          </w:p>
          <w:p w:rsidR="0060552C" w:rsidRPr="0060552C" w:rsidRDefault="0060552C" w:rsidP="0060552C">
            <w:pPr>
              <w:spacing w:after="24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lastRenderedPageBreak/>
              <w:br/>
            </w:r>
            <w:r w:rsidRPr="0060552C">
              <w:rPr>
                <w:rFonts w:ascii="Arial" w:eastAsia="Times New Roman" w:hAnsi="Arial" w:cs="Arial"/>
                <w:sz w:val="24"/>
                <w:szCs w:val="24"/>
                <w:lang w:eastAsia="es-CR"/>
              </w:rPr>
              <w:br/>
              <w:t xml:space="preserve">Disposiciones transitorias. Los procedimientos de contratación iniciados antes de la vigencia de esta Ley se concluirán, conforme a las disposiciones vigentes en el momento de adoptarse la decisión de iniciar el concurso. Los reclamos de reajuste de precios, pendientes de tramitación a la entrada en vigencia de esta Ley, se concluirán de acuerdo con las disposiciones que les dieron origen. Mientras no se publique el Reglamento de esta Ley, todos los procedimientos de contratación administrativa se regirán por las disposiciones vigentes en el momento de entrar en vigor. </w:t>
            </w:r>
            <w:r w:rsidRPr="0060552C">
              <w:rPr>
                <w:rFonts w:ascii="Arial" w:eastAsia="Times New Roman" w:hAnsi="Arial" w:cs="Arial"/>
                <w:sz w:val="24"/>
                <w:szCs w:val="24"/>
                <w:lang w:eastAsia="es-CR"/>
              </w:rPr>
              <w:br/>
            </w:r>
            <w:hyperlink r:id="rId126"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color w:val="000000"/>
                <w:sz w:val="24"/>
                <w:szCs w:val="24"/>
                <w:lang w:eastAsia="es-CR"/>
              </w:rPr>
              <w:t xml:space="preserve">ARTÍCULO 113.-Vigencia.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color w:val="000000"/>
                <w:sz w:val="24"/>
                <w:szCs w:val="24"/>
                <w:lang w:eastAsia="es-CR"/>
              </w:rPr>
              <w:t>Rige a partir del 1º de mayo de 1996.</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color w:val="000000"/>
                <w:sz w:val="24"/>
                <w:szCs w:val="24"/>
                <w:lang w:eastAsia="es-CR"/>
              </w:rPr>
              <w:t>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before="100" w:beforeAutospacing="1" w:after="100" w:afterAutospacing="1" w:line="240" w:lineRule="auto"/>
              <w:ind w:firstLine="708"/>
              <w:jc w:val="both"/>
              <w:rPr>
                <w:rFonts w:ascii="Arial" w:eastAsia="Times New Roman" w:hAnsi="Arial" w:cs="Arial"/>
                <w:sz w:val="24"/>
                <w:szCs w:val="24"/>
                <w:lang w:eastAsia="es-CR"/>
              </w:rPr>
            </w:pPr>
            <w:r w:rsidRPr="0060552C">
              <w:rPr>
                <w:rFonts w:ascii="Arial" w:eastAsia="Times New Roman" w:hAnsi="Arial" w:cs="Arial"/>
                <w:sz w:val="24"/>
                <w:szCs w:val="24"/>
                <w:lang w:val="es-MX" w:eastAsia="es-CR"/>
              </w:rPr>
              <w:t>Dado en Presidencia.- San José, a los dos días del mes de mayo de 1995. </w:t>
            </w:r>
          </w:p>
          <w:p w:rsidR="0060552C" w:rsidRPr="0060552C" w:rsidRDefault="0060552C" w:rsidP="0060552C">
            <w:pPr>
              <w:spacing w:after="240" w:line="240" w:lineRule="auto"/>
              <w:rPr>
                <w:rFonts w:ascii="Arial" w:eastAsia="Times New Roman" w:hAnsi="Arial" w:cs="Arial"/>
                <w:sz w:val="24"/>
                <w:szCs w:val="24"/>
                <w:lang w:eastAsia="es-CR"/>
              </w:rPr>
            </w:pPr>
          </w:p>
          <w:p w:rsidR="0060552C" w:rsidRPr="0060552C" w:rsidRDefault="0060552C" w:rsidP="0060552C">
            <w:pPr>
              <w:spacing w:after="0" w:line="240" w:lineRule="auto"/>
              <w:rPr>
                <w:rFonts w:ascii="Arial" w:eastAsia="Times New Roman" w:hAnsi="Arial" w:cs="Arial"/>
                <w:sz w:val="24"/>
                <w:szCs w:val="24"/>
                <w:lang w:eastAsia="es-CR"/>
              </w:rPr>
            </w:pPr>
            <w:r w:rsidRPr="0060552C">
              <w:rPr>
                <w:rFonts w:ascii="Arial" w:eastAsia="Times New Roman" w:hAnsi="Arial" w:cs="Arial"/>
                <w:sz w:val="24"/>
                <w:szCs w:val="24"/>
                <w:lang w:eastAsia="es-CR"/>
              </w:rPr>
              <w:br/>
            </w:r>
            <w:hyperlink r:id="rId127" w:tgtFrame="_top" w:history="1"/>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r w:rsidRPr="0060552C">
              <w:rPr>
                <w:rFonts w:ascii="Arial" w:eastAsia="Times New Roman" w:hAnsi="Arial" w:cs="Arial"/>
                <w:sz w:val="24"/>
                <w:szCs w:val="24"/>
                <w:lang w:eastAsia="es-CR"/>
              </w:rPr>
              <w:br/>
            </w:r>
            <w:bookmarkStart w:id="2" w:name="down"/>
            <w:bookmarkEnd w:id="2"/>
          </w:p>
        </w:tc>
        <w:tc>
          <w:tcPr>
            <w:tcW w:w="0" w:type="auto"/>
            <w:vAlign w:val="center"/>
            <w:hideMark/>
          </w:tcPr>
          <w:p w:rsidR="0060552C" w:rsidRPr="0060552C" w:rsidRDefault="0060552C" w:rsidP="0060552C">
            <w:pPr>
              <w:spacing w:after="0" w:line="240" w:lineRule="auto"/>
              <w:rPr>
                <w:rFonts w:ascii="Arial" w:eastAsia="Times New Roman" w:hAnsi="Arial" w:cs="Arial"/>
                <w:sz w:val="24"/>
                <w:szCs w:val="24"/>
                <w:lang w:eastAsia="es-CR"/>
              </w:rPr>
            </w:pPr>
          </w:p>
        </w:tc>
      </w:tr>
      <w:tr w:rsidR="0060552C" w:rsidRPr="0060552C" w:rsidTr="0060552C">
        <w:trPr>
          <w:tblCellSpacing w:w="15" w:type="dxa"/>
        </w:trPr>
        <w:tc>
          <w:tcPr>
            <w:tcW w:w="0" w:type="auto"/>
            <w:vAlign w:val="center"/>
            <w:hideMark/>
          </w:tcPr>
          <w:p w:rsidR="0060552C" w:rsidRPr="0060552C" w:rsidRDefault="0060552C" w:rsidP="0060552C">
            <w:pPr>
              <w:spacing w:after="0" w:line="240" w:lineRule="auto"/>
              <w:jc w:val="center"/>
              <w:rPr>
                <w:rFonts w:ascii="Arial" w:eastAsia="Times New Roman" w:hAnsi="Arial" w:cs="Arial"/>
                <w:sz w:val="24"/>
                <w:szCs w:val="24"/>
                <w:lang w:eastAsia="es-CR"/>
              </w:rPr>
            </w:pPr>
            <w:hyperlink r:id="rId128" w:anchor="up" w:history="1"/>
          </w:p>
        </w:tc>
        <w:tc>
          <w:tcPr>
            <w:tcW w:w="0" w:type="auto"/>
            <w:vAlign w:val="center"/>
            <w:hideMark/>
          </w:tcPr>
          <w:p w:rsidR="0060552C" w:rsidRPr="0060552C" w:rsidRDefault="0060552C" w:rsidP="0060552C">
            <w:pPr>
              <w:spacing w:after="0" w:line="240" w:lineRule="auto"/>
              <w:rPr>
                <w:rFonts w:ascii="Arial" w:eastAsia="Times New Roman" w:hAnsi="Arial" w:cs="Arial"/>
                <w:sz w:val="24"/>
                <w:szCs w:val="24"/>
                <w:lang w:eastAsia="es-CR"/>
              </w:rPr>
            </w:pPr>
          </w:p>
        </w:tc>
      </w:tr>
    </w:tbl>
    <w:p w:rsidR="001E6826" w:rsidRPr="0060552C" w:rsidRDefault="001E6826">
      <w:pPr>
        <w:rPr>
          <w:rFonts w:ascii="Arial" w:hAnsi="Arial" w:cs="Arial"/>
          <w:sz w:val="24"/>
          <w:szCs w:val="24"/>
        </w:rPr>
      </w:pPr>
    </w:p>
    <w:sectPr w:rsidR="001E6826" w:rsidRPr="006055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52C"/>
    <w:rsid w:val="001E6826"/>
    <w:rsid w:val="006055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552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60552C"/>
    <w:rPr>
      <w:color w:val="0000FF"/>
      <w:u w:val="single"/>
    </w:rPr>
  </w:style>
  <w:style w:type="character" w:styleId="Hipervnculovisitado">
    <w:name w:val="FollowedHyperlink"/>
    <w:basedOn w:val="Fuentedeprrafopredeter"/>
    <w:uiPriority w:val="99"/>
    <w:semiHidden/>
    <w:unhideWhenUsed/>
    <w:rsid w:val="0060552C"/>
    <w:rPr>
      <w:color w:val="800080"/>
      <w:u w:val="single"/>
    </w:rPr>
  </w:style>
  <w:style w:type="character" w:customStyle="1" w:styleId="spelle">
    <w:name w:val="spelle"/>
    <w:basedOn w:val="Fuentedeprrafopredeter"/>
    <w:rsid w:val="0060552C"/>
  </w:style>
  <w:style w:type="paragraph" w:styleId="Sangradetextonormal">
    <w:name w:val="Body Text Indent"/>
    <w:basedOn w:val="Normal"/>
    <w:link w:val="SangradetextonormalCar"/>
    <w:uiPriority w:val="99"/>
    <w:semiHidden/>
    <w:unhideWhenUsed/>
    <w:rsid w:val="0060552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angradetextonormalCar">
    <w:name w:val="Sangría de texto normal Car"/>
    <w:basedOn w:val="Fuentedeprrafopredeter"/>
    <w:link w:val="Sangradetextonormal"/>
    <w:uiPriority w:val="99"/>
    <w:semiHidden/>
    <w:rsid w:val="0060552C"/>
    <w:rPr>
      <w:rFonts w:ascii="Times New Roman" w:eastAsia="Times New Roman" w:hAnsi="Times New Roman" w:cs="Times New Roman"/>
      <w:sz w:val="24"/>
      <w:szCs w:val="24"/>
      <w:lang w:eastAsia="es-CR"/>
    </w:rPr>
  </w:style>
  <w:style w:type="character" w:customStyle="1" w:styleId="grame">
    <w:name w:val="grame"/>
    <w:basedOn w:val="Fuentedeprrafopredeter"/>
    <w:rsid w:val="0060552C"/>
  </w:style>
  <w:style w:type="paragraph" w:styleId="Textoindependiente">
    <w:name w:val="Body Text"/>
    <w:basedOn w:val="Normal"/>
    <w:link w:val="TextoindependienteCar"/>
    <w:uiPriority w:val="99"/>
    <w:semiHidden/>
    <w:unhideWhenUsed/>
    <w:rsid w:val="0060552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independienteCar">
    <w:name w:val="Texto independiente Car"/>
    <w:basedOn w:val="Fuentedeprrafopredeter"/>
    <w:link w:val="Textoindependiente"/>
    <w:uiPriority w:val="99"/>
    <w:semiHidden/>
    <w:rsid w:val="0060552C"/>
    <w:rPr>
      <w:rFonts w:ascii="Times New Roman" w:eastAsia="Times New Roman" w:hAnsi="Times New Roman" w:cs="Times New Roman"/>
      <w:sz w:val="24"/>
      <w:szCs w:val="24"/>
      <w:lang w:eastAsia="es-CR"/>
    </w:rPr>
  </w:style>
  <w:style w:type="character" w:customStyle="1" w:styleId="style5">
    <w:name w:val="style5"/>
    <w:basedOn w:val="Fuentedeprrafopredeter"/>
    <w:rsid w:val="00605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552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60552C"/>
    <w:rPr>
      <w:color w:val="0000FF"/>
      <w:u w:val="single"/>
    </w:rPr>
  </w:style>
  <w:style w:type="character" w:styleId="Hipervnculovisitado">
    <w:name w:val="FollowedHyperlink"/>
    <w:basedOn w:val="Fuentedeprrafopredeter"/>
    <w:uiPriority w:val="99"/>
    <w:semiHidden/>
    <w:unhideWhenUsed/>
    <w:rsid w:val="0060552C"/>
    <w:rPr>
      <w:color w:val="800080"/>
      <w:u w:val="single"/>
    </w:rPr>
  </w:style>
  <w:style w:type="character" w:customStyle="1" w:styleId="spelle">
    <w:name w:val="spelle"/>
    <w:basedOn w:val="Fuentedeprrafopredeter"/>
    <w:rsid w:val="0060552C"/>
  </w:style>
  <w:style w:type="paragraph" w:styleId="Sangradetextonormal">
    <w:name w:val="Body Text Indent"/>
    <w:basedOn w:val="Normal"/>
    <w:link w:val="SangradetextonormalCar"/>
    <w:uiPriority w:val="99"/>
    <w:semiHidden/>
    <w:unhideWhenUsed/>
    <w:rsid w:val="0060552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angradetextonormalCar">
    <w:name w:val="Sangría de texto normal Car"/>
    <w:basedOn w:val="Fuentedeprrafopredeter"/>
    <w:link w:val="Sangradetextonormal"/>
    <w:uiPriority w:val="99"/>
    <w:semiHidden/>
    <w:rsid w:val="0060552C"/>
    <w:rPr>
      <w:rFonts w:ascii="Times New Roman" w:eastAsia="Times New Roman" w:hAnsi="Times New Roman" w:cs="Times New Roman"/>
      <w:sz w:val="24"/>
      <w:szCs w:val="24"/>
      <w:lang w:eastAsia="es-CR"/>
    </w:rPr>
  </w:style>
  <w:style w:type="character" w:customStyle="1" w:styleId="grame">
    <w:name w:val="grame"/>
    <w:basedOn w:val="Fuentedeprrafopredeter"/>
    <w:rsid w:val="0060552C"/>
  </w:style>
  <w:style w:type="paragraph" w:styleId="Textoindependiente">
    <w:name w:val="Body Text"/>
    <w:basedOn w:val="Normal"/>
    <w:link w:val="TextoindependienteCar"/>
    <w:uiPriority w:val="99"/>
    <w:semiHidden/>
    <w:unhideWhenUsed/>
    <w:rsid w:val="0060552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independienteCar">
    <w:name w:val="Texto independiente Car"/>
    <w:basedOn w:val="Fuentedeprrafopredeter"/>
    <w:link w:val="Textoindependiente"/>
    <w:uiPriority w:val="99"/>
    <w:semiHidden/>
    <w:rsid w:val="0060552C"/>
    <w:rPr>
      <w:rFonts w:ascii="Times New Roman" w:eastAsia="Times New Roman" w:hAnsi="Times New Roman" w:cs="Times New Roman"/>
      <w:sz w:val="24"/>
      <w:szCs w:val="24"/>
      <w:lang w:eastAsia="es-CR"/>
    </w:rPr>
  </w:style>
  <w:style w:type="character" w:customStyle="1" w:styleId="style5">
    <w:name w:val="style5"/>
    <w:basedOn w:val="Fuentedeprrafopredeter"/>
    <w:rsid w:val="00605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568822">
      <w:bodyDiv w:val="1"/>
      <w:marLeft w:val="0"/>
      <w:marRight w:val="0"/>
      <w:marTop w:val="0"/>
      <w:marBottom w:val="0"/>
      <w:divBdr>
        <w:top w:val="none" w:sz="0" w:space="0" w:color="auto"/>
        <w:left w:val="none" w:sz="0" w:space="0" w:color="auto"/>
        <w:bottom w:val="none" w:sz="0" w:space="0" w:color="auto"/>
        <w:right w:val="none" w:sz="0" w:space="0" w:color="auto"/>
      </w:divBdr>
      <w:divsChild>
        <w:div w:id="1863325898">
          <w:marLeft w:val="0"/>
          <w:marRight w:val="0"/>
          <w:marTop w:val="0"/>
          <w:marBottom w:val="0"/>
          <w:divBdr>
            <w:top w:val="none" w:sz="0" w:space="0" w:color="auto"/>
            <w:left w:val="none" w:sz="0" w:space="0" w:color="auto"/>
            <w:bottom w:val="none" w:sz="0" w:space="0" w:color="auto"/>
            <w:right w:val="none" w:sz="0" w:space="0" w:color="auto"/>
          </w:divBdr>
          <w:divsChild>
            <w:div w:id="217978320">
              <w:marLeft w:val="0"/>
              <w:marRight w:val="0"/>
              <w:marTop w:val="0"/>
              <w:marBottom w:val="0"/>
              <w:divBdr>
                <w:top w:val="none" w:sz="0" w:space="0" w:color="auto"/>
                <w:left w:val="none" w:sz="0" w:space="0" w:color="auto"/>
                <w:bottom w:val="none" w:sz="0" w:space="0" w:color="auto"/>
                <w:right w:val="none" w:sz="0" w:space="0" w:color="auto"/>
              </w:divBdr>
              <w:divsChild>
                <w:div w:id="263073251">
                  <w:marLeft w:val="0"/>
                  <w:marRight w:val="0"/>
                  <w:marTop w:val="0"/>
                  <w:marBottom w:val="0"/>
                  <w:divBdr>
                    <w:top w:val="none" w:sz="0" w:space="0" w:color="auto"/>
                    <w:left w:val="none" w:sz="0" w:space="0" w:color="auto"/>
                    <w:bottom w:val="none" w:sz="0" w:space="0" w:color="auto"/>
                    <w:right w:val="none" w:sz="0" w:space="0" w:color="auto"/>
                  </w:divBdr>
                </w:div>
                <w:div w:id="2145273203">
                  <w:marLeft w:val="0"/>
                  <w:marRight w:val="0"/>
                  <w:marTop w:val="0"/>
                  <w:marBottom w:val="0"/>
                  <w:divBdr>
                    <w:top w:val="none" w:sz="0" w:space="0" w:color="auto"/>
                    <w:left w:val="none" w:sz="0" w:space="0" w:color="auto"/>
                    <w:bottom w:val="none" w:sz="0" w:space="0" w:color="auto"/>
                    <w:right w:val="none" w:sz="0" w:space="0" w:color="auto"/>
                  </w:divBdr>
                </w:div>
                <w:div w:id="1926331100">
                  <w:marLeft w:val="0"/>
                  <w:marRight w:val="0"/>
                  <w:marTop w:val="0"/>
                  <w:marBottom w:val="0"/>
                  <w:divBdr>
                    <w:top w:val="none" w:sz="0" w:space="0" w:color="auto"/>
                    <w:left w:val="none" w:sz="0" w:space="0" w:color="auto"/>
                    <w:bottom w:val="none" w:sz="0" w:space="0" w:color="auto"/>
                    <w:right w:val="none" w:sz="0" w:space="0" w:color="auto"/>
                  </w:divBdr>
                </w:div>
                <w:div w:id="2030981888">
                  <w:marLeft w:val="0"/>
                  <w:marRight w:val="0"/>
                  <w:marTop w:val="0"/>
                  <w:marBottom w:val="0"/>
                  <w:divBdr>
                    <w:top w:val="none" w:sz="0" w:space="0" w:color="auto"/>
                    <w:left w:val="none" w:sz="0" w:space="0" w:color="auto"/>
                    <w:bottom w:val="none" w:sz="0" w:space="0" w:color="auto"/>
                    <w:right w:val="none" w:sz="0" w:space="0" w:color="auto"/>
                  </w:divBdr>
                </w:div>
                <w:div w:id="1035890565">
                  <w:marLeft w:val="0"/>
                  <w:marRight w:val="0"/>
                  <w:marTop w:val="0"/>
                  <w:marBottom w:val="0"/>
                  <w:divBdr>
                    <w:top w:val="none" w:sz="0" w:space="0" w:color="auto"/>
                    <w:left w:val="none" w:sz="0" w:space="0" w:color="auto"/>
                    <w:bottom w:val="none" w:sz="0" w:space="0" w:color="auto"/>
                    <w:right w:val="none" w:sz="0" w:space="0" w:color="auto"/>
                  </w:divBdr>
                </w:div>
                <w:div w:id="1946109341">
                  <w:marLeft w:val="0"/>
                  <w:marRight w:val="0"/>
                  <w:marTop w:val="0"/>
                  <w:marBottom w:val="0"/>
                  <w:divBdr>
                    <w:top w:val="none" w:sz="0" w:space="0" w:color="auto"/>
                    <w:left w:val="none" w:sz="0" w:space="0" w:color="auto"/>
                    <w:bottom w:val="none" w:sz="0" w:space="0" w:color="auto"/>
                    <w:right w:val="none" w:sz="0" w:space="0" w:color="auto"/>
                  </w:divBdr>
                </w:div>
                <w:div w:id="1047684025">
                  <w:marLeft w:val="0"/>
                  <w:marRight w:val="0"/>
                  <w:marTop w:val="0"/>
                  <w:marBottom w:val="0"/>
                  <w:divBdr>
                    <w:top w:val="none" w:sz="0" w:space="0" w:color="auto"/>
                    <w:left w:val="none" w:sz="0" w:space="0" w:color="auto"/>
                    <w:bottom w:val="none" w:sz="0" w:space="0" w:color="auto"/>
                    <w:right w:val="none" w:sz="0" w:space="0" w:color="auto"/>
                  </w:divBdr>
                </w:div>
                <w:div w:id="1669477431">
                  <w:marLeft w:val="0"/>
                  <w:marRight w:val="0"/>
                  <w:marTop w:val="0"/>
                  <w:marBottom w:val="0"/>
                  <w:divBdr>
                    <w:top w:val="none" w:sz="0" w:space="0" w:color="auto"/>
                    <w:left w:val="none" w:sz="0" w:space="0" w:color="auto"/>
                    <w:bottom w:val="none" w:sz="0" w:space="0" w:color="auto"/>
                    <w:right w:val="none" w:sz="0" w:space="0" w:color="auto"/>
                  </w:divBdr>
                </w:div>
                <w:div w:id="948046310">
                  <w:marLeft w:val="0"/>
                  <w:marRight w:val="0"/>
                  <w:marTop w:val="0"/>
                  <w:marBottom w:val="0"/>
                  <w:divBdr>
                    <w:top w:val="none" w:sz="0" w:space="0" w:color="auto"/>
                    <w:left w:val="none" w:sz="0" w:space="0" w:color="auto"/>
                    <w:bottom w:val="none" w:sz="0" w:space="0" w:color="auto"/>
                    <w:right w:val="none" w:sz="0" w:space="0" w:color="auto"/>
                  </w:divBdr>
                </w:div>
                <w:div w:id="1355687896">
                  <w:marLeft w:val="0"/>
                  <w:marRight w:val="0"/>
                  <w:marTop w:val="0"/>
                  <w:marBottom w:val="0"/>
                  <w:divBdr>
                    <w:top w:val="none" w:sz="0" w:space="0" w:color="auto"/>
                    <w:left w:val="none" w:sz="0" w:space="0" w:color="auto"/>
                    <w:bottom w:val="none" w:sz="0" w:space="0" w:color="auto"/>
                    <w:right w:val="none" w:sz="0" w:space="0" w:color="auto"/>
                  </w:divBdr>
                </w:div>
                <w:div w:id="1265452919">
                  <w:marLeft w:val="0"/>
                  <w:marRight w:val="0"/>
                  <w:marTop w:val="0"/>
                  <w:marBottom w:val="0"/>
                  <w:divBdr>
                    <w:top w:val="none" w:sz="0" w:space="0" w:color="auto"/>
                    <w:left w:val="none" w:sz="0" w:space="0" w:color="auto"/>
                    <w:bottom w:val="none" w:sz="0" w:space="0" w:color="auto"/>
                    <w:right w:val="none" w:sz="0" w:space="0" w:color="auto"/>
                  </w:divBdr>
                  <w:divsChild>
                    <w:div w:id="434401352">
                      <w:marLeft w:val="0"/>
                      <w:marRight w:val="0"/>
                      <w:marTop w:val="0"/>
                      <w:marBottom w:val="0"/>
                      <w:divBdr>
                        <w:top w:val="none" w:sz="0" w:space="0" w:color="auto"/>
                        <w:left w:val="none" w:sz="0" w:space="0" w:color="auto"/>
                        <w:bottom w:val="none" w:sz="0" w:space="0" w:color="auto"/>
                        <w:right w:val="none" w:sz="0" w:space="0" w:color="auto"/>
                      </w:divBdr>
                    </w:div>
                    <w:div w:id="570165514">
                      <w:marLeft w:val="0"/>
                      <w:marRight w:val="0"/>
                      <w:marTop w:val="0"/>
                      <w:marBottom w:val="0"/>
                      <w:divBdr>
                        <w:top w:val="none" w:sz="0" w:space="0" w:color="auto"/>
                        <w:left w:val="none" w:sz="0" w:space="0" w:color="auto"/>
                        <w:bottom w:val="none" w:sz="0" w:space="0" w:color="auto"/>
                        <w:right w:val="none" w:sz="0" w:space="0" w:color="auto"/>
                      </w:divBdr>
                    </w:div>
                    <w:div w:id="1501040063">
                      <w:marLeft w:val="0"/>
                      <w:marRight w:val="0"/>
                      <w:marTop w:val="0"/>
                      <w:marBottom w:val="0"/>
                      <w:divBdr>
                        <w:top w:val="none" w:sz="0" w:space="0" w:color="auto"/>
                        <w:left w:val="none" w:sz="0" w:space="0" w:color="auto"/>
                        <w:bottom w:val="none" w:sz="0" w:space="0" w:color="auto"/>
                        <w:right w:val="none" w:sz="0" w:space="0" w:color="auto"/>
                      </w:divBdr>
                    </w:div>
                    <w:div w:id="1461877843">
                      <w:marLeft w:val="0"/>
                      <w:marRight w:val="0"/>
                      <w:marTop w:val="0"/>
                      <w:marBottom w:val="0"/>
                      <w:divBdr>
                        <w:top w:val="none" w:sz="0" w:space="0" w:color="auto"/>
                        <w:left w:val="none" w:sz="0" w:space="0" w:color="auto"/>
                        <w:bottom w:val="none" w:sz="0" w:space="0" w:color="auto"/>
                        <w:right w:val="none" w:sz="0" w:space="0" w:color="auto"/>
                      </w:divBdr>
                    </w:div>
                    <w:div w:id="378867046">
                      <w:marLeft w:val="0"/>
                      <w:marRight w:val="0"/>
                      <w:marTop w:val="0"/>
                      <w:marBottom w:val="0"/>
                      <w:divBdr>
                        <w:top w:val="none" w:sz="0" w:space="0" w:color="auto"/>
                        <w:left w:val="none" w:sz="0" w:space="0" w:color="auto"/>
                        <w:bottom w:val="none" w:sz="0" w:space="0" w:color="auto"/>
                        <w:right w:val="none" w:sz="0" w:space="0" w:color="auto"/>
                      </w:divBdr>
                    </w:div>
                    <w:div w:id="2134788523">
                      <w:marLeft w:val="0"/>
                      <w:marRight w:val="0"/>
                      <w:marTop w:val="0"/>
                      <w:marBottom w:val="0"/>
                      <w:divBdr>
                        <w:top w:val="none" w:sz="0" w:space="0" w:color="auto"/>
                        <w:left w:val="none" w:sz="0" w:space="0" w:color="auto"/>
                        <w:bottom w:val="none" w:sz="0" w:space="0" w:color="auto"/>
                        <w:right w:val="none" w:sz="0" w:space="0" w:color="auto"/>
                      </w:divBdr>
                    </w:div>
                  </w:divsChild>
                </w:div>
                <w:div w:id="961615682">
                  <w:marLeft w:val="0"/>
                  <w:marRight w:val="0"/>
                  <w:marTop w:val="0"/>
                  <w:marBottom w:val="0"/>
                  <w:divBdr>
                    <w:top w:val="none" w:sz="0" w:space="0" w:color="auto"/>
                    <w:left w:val="none" w:sz="0" w:space="0" w:color="auto"/>
                    <w:bottom w:val="none" w:sz="0" w:space="0" w:color="auto"/>
                    <w:right w:val="none" w:sz="0" w:space="0" w:color="auto"/>
                  </w:divBdr>
                </w:div>
                <w:div w:id="1464496911">
                  <w:marLeft w:val="0"/>
                  <w:marRight w:val="0"/>
                  <w:marTop w:val="0"/>
                  <w:marBottom w:val="0"/>
                  <w:divBdr>
                    <w:top w:val="none" w:sz="0" w:space="0" w:color="auto"/>
                    <w:left w:val="none" w:sz="0" w:space="0" w:color="auto"/>
                    <w:bottom w:val="none" w:sz="0" w:space="0" w:color="auto"/>
                    <w:right w:val="none" w:sz="0" w:space="0" w:color="auto"/>
                  </w:divBdr>
                </w:div>
                <w:div w:id="768156962">
                  <w:marLeft w:val="0"/>
                  <w:marRight w:val="0"/>
                  <w:marTop w:val="0"/>
                  <w:marBottom w:val="0"/>
                  <w:divBdr>
                    <w:top w:val="none" w:sz="0" w:space="0" w:color="auto"/>
                    <w:left w:val="none" w:sz="0" w:space="0" w:color="auto"/>
                    <w:bottom w:val="none" w:sz="0" w:space="0" w:color="auto"/>
                    <w:right w:val="none" w:sz="0" w:space="0" w:color="auto"/>
                  </w:divBdr>
                </w:div>
                <w:div w:id="478960972">
                  <w:marLeft w:val="0"/>
                  <w:marRight w:val="0"/>
                  <w:marTop w:val="0"/>
                  <w:marBottom w:val="0"/>
                  <w:divBdr>
                    <w:top w:val="none" w:sz="0" w:space="0" w:color="auto"/>
                    <w:left w:val="none" w:sz="0" w:space="0" w:color="auto"/>
                    <w:bottom w:val="none" w:sz="0" w:space="0" w:color="auto"/>
                    <w:right w:val="none" w:sz="0" w:space="0" w:color="auto"/>
                  </w:divBdr>
                </w:div>
                <w:div w:id="1029986362">
                  <w:marLeft w:val="0"/>
                  <w:marRight w:val="0"/>
                  <w:marTop w:val="0"/>
                  <w:marBottom w:val="0"/>
                  <w:divBdr>
                    <w:top w:val="none" w:sz="0" w:space="0" w:color="auto"/>
                    <w:left w:val="none" w:sz="0" w:space="0" w:color="auto"/>
                    <w:bottom w:val="none" w:sz="0" w:space="0" w:color="auto"/>
                    <w:right w:val="none" w:sz="0" w:space="0" w:color="auto"/>
                  </w:divBdr>
                </w:div>
                <w:div w:id="1340158266">
                  <w:marLeft w:val="0"/>
                  <w:marRight w:val="0"/>
                  <w:marTop w:val="0"/>
                  <w:marBottom w:val="0"/>
                  <w:divBdr>
                    <w:top w:val="none" w:sz="0" w:space="0" w:color="auto"/>
                    <w:left w:val="none" w:sz="0" w:space="0" w:color="auto"/>
                    <w:bottom w:val="none" w:sz="0" w:space="0" w:color="auto"/>
                    <w:right w:val="none" w:sz="0" w:space="0" w:color="auto"/>
                  </w:divBdr>
                </w:div>
                <w:div w:id="606547825">
                  <w:marLeft w:val="0"/>
                  <w:marRight w:val="0"/>
                  <w:marTop w:val="0"/>
                  <w:marBottom w:val="0"/>
                  <w:divBdr>
                    <w:top w:val="none" w:sz="0" w:space="0" w:color="auto"/>
                    <w:left w:val="none" w:sz="0" w:space="0" w:color="auto"/>
                    <w:bottom w:val="none" w:sz="0" w:space="0" w:color="auto"/>
                    <w:right w:val="none" w:sz="0" w:space="0" w:color="auto"/>
                  </w:divBdr>
                </w:div>
                <w:div w:id="628165371">
                  <w:marLeft w:val="0"/>
                  <w:marRight w:val="0"/>
                  <w:marTop w:val="0"/>
                  <w:marBottom w:val="0"/>
                  <w:divBdr>
                    <w:top w:val="none" w:sz="0" w:space="0" w:color="auto"/>
                    <w:left w:val="none" w:sz="0" w:space="0" w:color="auto"/>
                    <w:bottom w:val="none" w:sz="0" w:space="0" w:color="auto"/>
                    <w:right w:val="none" w:sz="0" w:space="0" w:color="auto"/>
                  </w:divBdr>
                </w:div>
                <w:div w:id="1046298293">
                  <w:marLeft w:val="0"/>
                  <w:marRight w:val="0"/>
                  <w:marTop w:val="0"/>
                  <w:marBottom w:val="0"/>
                  <w:divBdr>
                    <w:top w:val="none" w:sz="0" w:space="0" w:color="auto"/>
                    <w:left w:val="none" w:sz="0" w:space="0" w:color="auto"/>
                    <w:bottom w:val="none" w:sz="0" w:space="0" w:color="auto"/>
                    <w:right w:val="none" w:sz="0" w:space="0" w:color="auto"/>
                  </w:divBdr>
                </w:div>
                <w:div w:id="862403526">
                  <w:marLeft w:val="0"/>
                  <w:marRight w:val="0"/>
                  <w:marTop w:val="0"/>
                  <w:marBottom w:val="0"/>
                  <w:divBdr>
                    <w:top w:val="none" w:sz="0" w:space="0" w:color="auto"/>
                    <w:left w:val="none" w:sz="0" w:space="0" w:color="auto"/>
                    <w:bottom w:val="none" w:sz="0" w:space="0" w:color="auto"/>
                    <w:right w:val="none" w:sz="0" w:space="0" w:color="auto"/>
                  </w:divBdr>
                </w:div>
                <w:div w:id="567424598">
                  <w:marLeft w:val="0"/>
                  <w:marRight w:val="0"/>
                  <w:marTop w:val="0"/>
                  <w:marBottom w:val="0"/>
                  <w:divBdr>
                    <w:top w:val="none" w:sz="0" w:space="0" w:color="auto"/>
                    <w:left w:val="none" w:sz="0" w:space="0" w:color="auto"/>
                    <w:bottom w:val="none" w:sz="0" w:space="0" w:color="auto"/>
                    <w:right w:val="none" w:sz="0" w:space="0" w:color="auto"/>
                  </w:divBdr>
                </w:div>
                <w:div w:id="725762514">
                  <w:marLeft w:val="0"/>
                  <w:marRight w:val="0"/>
                  <w:marTop w:val="0"/>
                  <w:marBottom w:val="0"/>
                  <w:divBdr>
                    <w:top w:val="none" w:sz="0" w:space="0" w:color="auto"/>
                    <w:left w:val="none" w:sz="0" w:space="0" w:color="auto"/>
                    <w:bottom w:val="none" w:sz="0" w:space="0" w:color="auto"/>
                    <w:right w:val="none" w:sz="0" w:space="0" w:color="auto"/>
                  </w:divBdr>
                </w:div>
                <w:div w:id="868565265">
                  <w:marLeft w:val="0"/>
                  <w:marRight w:val="0"/>
                  <w:marTop w:val="0"/>
                  <w:marBottom w:val="0"/>
                  <w:divBdr>
                    <w:top w:val="none" w:sz="0" w:space="0" w:color="auto"/>
                    <w:left w:val="none" w:sz="0" w:space="0" w:color="auto"/>
                    <w:bottom w:val="none" w:sz="0" w:space="0" w:color="auto"/>
                    <w:right w:val="none" w:sz="0" w:space="0" w:color="auto"/>
                  </w:divBdr>
                </w:div>
                <w:div w:id="1253390364">
                  <w:marLeft w:val="0"/>
                  <w:marRight w:val="0"/>
                  <w:marTop w:val="0"/>
                  <w:marBottom w:val="0"/>
                  <w:divBdr>
                    <w:top w:val="none" w:sz="0" w:space="0" w:color="auto"/>
                    <w:left w:val="none" w:sz="0" w:space="0" w:color="auto"/>
                    <w:bottom w:val="none" w:sz="0" w:space="0" w:color="auto"/>
                    <w:right w:val="none" w:sz="0" w:space="0" w:color="auto"/>
                  </w:divBdr>
                </w:div>
                <w:div w:id="517089056">
                  <w:marLeft w:val="0"/>
                  <w:marRight w:val="0"/>
                  <w:marTop w:val="0"/>
                  <w:marBottom w:val="0"/>
                  <w:divBdr>
                    <w:top w:val="none" w:sz="0" w:space="0" w:color="auto"/>
                    <w:left w:val="none" w:sz="0" w:space="0" w:color="auto"/>
                    <w:bottom w:val="none" w:sz="0" w:space="0" w:color="auto"/>
                    <w:right w:val="none" w:sz="0" w:space="0" w:color="auto"/>
                  </w:divBdr>
                </w:div>
                <w:div w:id="350765832">
                  <w:marLeft w:val="0"/>
                  <w:marRight w:val="0"/>
                  <w:marTop w:val="0"/>
                  <w:marBottom w:val="0"/>
                  <w:divBdr>
                    <w:top w:val="none" w:sz="0" w:space="0" w:color="auto"/>
                    <w:left w:val="none" w:sz="0" w:space="0" w:color="auto"/>
                    <w:bottom w:val="none" w:sz="0" w:space="0" w:color="auto"/>
                    <w:right w:val="none" w:sz="0" w:space="0" w:color="auto"/>
                  </w:divBdr>
                </w:div>
                <w:div w:id="7252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ncalderon\Desktop\nrm_articulo.aspx?param1=NRA&amp;nValor1=1&amp;nValor2=24284&amp;nValor3=99720&amp;nValor5=120735" TargetMode="External"/><Relationship Id="rId117" Type="http://schemas.openxmlformats.org/officeDocument/2006/relationships/hyperlink" Target="file:///C:\Users\mncalderon\Desktop\nrm_articulo.aspx?param1=NRA&amp;nValor1=1&amp;nValor2=24284&amp;nValor3=99720&amp;nValor5=120820" TargetMode="External"/><Relationship Id="rId21" Type="http://schemas.openxmlformats.org/officeDocument/2006/relationships/hyperlink" Target="file:///C:\Users\mncalderon\Desktop\nrm_articulo.aspx?param1=NRA&amp;nValor1=1&amp;nValor2=24284&amp;nValor3=99720&amp;nValor5=120730" TargetMode="External"/><Relationship Id="rId42" Type="http://schemas.openxmlformats.org/officeDocument/2006/relationships/hyperlink" Target="file:///C:\Users\mncalderon\Desktop\nrm_articulo.aspx?param1=NRA&amp;nValor1=1&amp;nValor2=24284&amp;nValor3=99720&amp;nValor5=120749" TargetMode="External"/><Relationship Id="rId47" Type="http://schemas.openxmlformats.org/officeDocument/2006/relationships/hyperlink" Target="file:///C:\Users\mncalderon\Desktop\nrm_articulo.aspx?param1=NRA&amp;nValor1=1&amp;nValor2=24284&amp;nValor3=99720&amp;nValor5=120754" TargetMode="External"/><Relationship Id="rId63" Type="http://schemas.openxmlformats.org/officeDocument/2006/relationships/hyperlink" Target="file:///C:\Users\mncalderon\Desktop\nrm_articulo.aspx?param1=NRA&amp;nValor1=1&amp;nValor2=24284&amp;nValor3=99720&amp;nValor5=120769" TargetMode="External"/><Relationship Id="rId68" Type="http://schemas.openxmlformats.org/officeDocument/2006/relationships/hyperlink" Target="file:///C:\Users\mncalderon\Desktop\nrm_articulo.aspx?param1=NRA&amp;nValor1=1&amp;nValor2=24284&amp;nValor3=99720&amp;nValor5=120774" TargetMode="External"/><Relationship Id="rId84" Type="http://schemas.openxmlformats.org/officeDocument/2006/relationships/hyperlink" Target="file:///C:\Users\mncalderon\Desktop\nrm_articulo.aspx?param1=NRA&amp;nValor1=1&amp;nValor2=24284&amp;nValor3=99720&amp;nValor5=120790" TargetMode="External"/><Relationship Id="rId89" Type="http://schemas.openxmlformats.org/officeDocument/2006/relationships/hyperlink" Target="file:///C:\Users\mncalderon\Desktop\nrm_articulo.aspx?param1=NRA&amp;nValor1=1&amp;nValor2=24284&amp;nValor3=99720&amp;nValor5=120795" TargetMode="External"/><Relationship Id="rId112" Type="http://schemas.openxmlformats.org/officeDocument/2006/relationships/hyperlink" Target="file:///C:\Users\mncalderon\Desktop\nrm_articulo.aspx?param1=NRA&amp;nValor1=1&amp;nValor2=24284&amp;nValor3=99720&amp;nValor5=120816" TargetMode="External"/><Relationship Id="rId16" Type="http://schemas.openxmlformats.org/officeDocument/2006/relationships/hyperlink" Target="file:///C:\Users\mncalderon\Desktop\nrm_articulo.aspx?param1=NRA&amp;nValor1=1&amp;nValor2=24284&amp;nValor3=99720&amp;nValor5=120726" TargetMode="External"/><Relationship Id="rId107" Type="http://schemas.openxmlformats.org/officeDocument/2006/relationships/hyperlink" Target="file:///C:\Users\mncalderon\Desktop\nrm_articulo.aspx?param1=NRA&amp;nValor1=1&amp;nValor2=24284&amp;nValor3=99720&amp;nValor5=120812" TargetMode="External"/><Relationship Id="rId11" Type="http://schemas.openxmlformats.org/officeDocument/2006/relationships/hyperlink" Target="file:///C:\Users\mncalderon\Desktop\nrm_articulo.aspx?param1=NRA&amp;nValor1=1&amp;nValor2=24284&amp;nValor3=99720&amp;nValor5=120721" TargetMode="External"/><Relationship Id="rId32" Type="http://schemas.openxmlformats.org/officeDocument/2006/relationships/hyperlink" Target="file:///C:\Users\mncalderon\Desktop\nrm_articulo.aspx?param1=NRA&amp;nValor1=1&amp;nValor2=24284&amp;nValor3=99720&amp;nValor5=120740" TargetMode="External"/><Relationship Id="rId37" Type="http://schemas.openxmlformats.org/officeDocument/2006/relationships/hyperlink" Target="file:///C:\Users\mncalderon\Desktop\nrm_articulo.aspx?param1=NRA&amp;nValor1=1&amp;nValor2=24284&amp;nValor3=99720&amp;nValor5=120744" TargetMode="External"/><Relationship Id="rId53" Type="http://schemas.openxmlformats.org/officeDocument/2006/relationships/hyperlink" Target="file:///C:\Users\mncalderon\Desktop\nrm_articulo.aspx?param1=NRA&amp;nValor1=1&amp;nValor2=24284&amp;nValor3=99720&amp;nValor5=120759" TargetMode="External"/><Relationship Id="rId58" Type="http://schemas.openxmlformats.org/officeDocument/2006/relationships/hyperlink" Target="file:///C:\Users\mncalderon\Desktop\nrm_articulo.aspx?param1=NRA&amp;nValor1=1&amp;nValor2=24284&amp;nValor3=99720&amp;nValor5=120764" TargetMode="External"/><Relationship Id="rId74" Type="http://schemas.openxmlformats.org/officeDocument/2006/relationships/hyperlink" Target="file:///C:\Users\mncalderon\Desktop\nrm_articulo.aspx?param1=NRA&amp;nValor1=1&amp;nValor2=24284&amp;nValor3=99720&amp;nValor5=120780" TargetMode="External"/><Relationship Id="rId79" Type="http://schemas.openxmlformats.org/officeDocument/2006/relationships/hyperlink" Target="file:///C:\Users\mncalderon\Desktop\nrm_articulo.aspx?param1=NRA&amp;nValor1=1&amp;nValor2=24284&amp;nValor3=99720&amp;nValor5=120785" TargetMode="External"/><Relationship Id="rId102" Type="http://schemas.openxmlformats.org/officeDocument/2006/relationships/hyperlink" Target="file:///C:\Users\mncalderon\Desktop\nrm_articulo.aspx?param1=NRA&amp;nValor1=1&amp;nValor2=24284&amp;nValor3=99720&amp;nValor5=120807" TargetMode="External"/><Relationship Id="rId123" Type="http://schemas.openxmlformats.org/officeDocument/2006/relationships/hyperlink" Target="file:///C:\Users\mncalderon\Desktop\nrm_articulo.aspx?param1=NRA&amp;nValor1=1&amp;nValor2=24284&amp;nValor3=99720&amp;nValor5=120826" TargetMode="External"/><Relationship Id="rId128" Type="http://schemas.openxmlformats.org/officeDocument/2006/relationships/hyperlink" Target="file:///C:\Users\mncalderon\Desktop\Texto%20Completo%20Norma%207494.htm" TargetMode="External"/><Relationship Id="rId5" Type="http://schemas.openxmlformats.org/officeDocument/2006/relationships/hyperlink" Target="file:///C:\Users\mncalderon\Desktop\nrm_articulo.aspx?param1=NRA&amp;nValor1=1&amp;nValor2=24284&amp;nValor3=99720&amp;nValor5=120716" TargetMode="External"/><Relationship Id="rId90" Type="http://schemas.openxmlformats.org/officeDocument/2006/relationships/hyperlink" Target="file:///C:\Users\mncalderon\Desktop\nrm_articulo.aspx?param1=NRA&amp;nValor1=1&amp;nValor2=24284&amp;nValor3=99720&amp;nValor5=120796" TargetMode="External"/><Relationship Id="rId95" Type="http://schemas.openxmlformats.org/officeDocument/2006/relationships/hyperlink" Target="file:///C:\Users\mncalderon\Desktop\nrm_articulo.aspx?param1=NRA&amp;nValor1=1&amp;nValor2=24284&amp;nValor3=99720&amp;nValor5=120800" TargetMode="External"/><Relationship Id="rId19" Type="http://schemas.openxmlformats.org/officeDocument/2006/relationships/hyperlink" Target="file:///C:\Users\mncalderon\Desktop\nrm_articulo.aspx?param1=NRA&amp;nValor1=1&amp;nValor2=24284&amp;nValor3=99720&amp;nValor5=120728" TargetMode="External"/><Relationship Id="rId14" Type="http://schemas.openxmlformats.org/officeDocument/2006/relationships/hyperlink" Target="file:///C:\Users\mncalderon\Desktop\nrm_articulo.aspx?param1=NRA&amp;nValor1=1&amp;nValor2=24284&amp;nValor3=99720&amp;nValor5=120724" TargetMode="External"/><Relationship Id="rId22" Type="http://schemas.openxmlformats.org/officeDocument/2006/relationships/hyperlink" Target="file:///C:\Users\mncalderon\Desktop\nrm_articulo.aspx?param1=NRA&amp;nValor1=1&amp;nValor2=24284&amp;nValor3=99720&amp;nValor5=120731" TargetMode="External"/><Relationship Id="rId27" Type="http://schemas.openxmlformats.org/officeDocument/2006/relationships/hyperlink" Target="file:///C:\Users\mncalderon\Desktop\nrm_articulo.aspx?param1=NRA&amp;nValor1=1&amp;nValor2=24284&amp;nValor3=99720&amp;nValor5=120736" TargetMode="External"/><Relationship Id="rId30" Type="http://schemas.openxmlformats.org/officeDocument/2006/relationships/hyperlink" Target="file:///C:\Users\mncalderon\Desktop\nrm_articulo.aspx?param1=NRA&amp;nValor1=1&amp;nValor2=24284&amp;nValor3=99720&amp;nValor5=120738" TargetMode="External"/><Relationship Id="rId35" Type="http://schemas.openxmlformats.org/officeDocument/2006/relationships/hyperlink" Target="file:///C:\Users\mncalderon\Desktop\nrm_articulo.aspx?param1=NRA&amp;nValor1=1&amp;nValor2=24284&amp;nValor3=99720&amp;nValor5=120742" TargetMode="External"/><Relationship Id="rId43" Type="http://schemas.openxmlformats.org/officeDocument/2006/relationships/hyperlink" Target="file:///C:\Users\mncalderon\Desktop\nrm_articulo.aspx?param1=NRA&amp;nValor1=1&amp;nValor2=24284&amp;nValor3=99720&amp;nValor5=120750" TargetMode="External"/><Relationship Id="rId48" Type="http://schemas.openxmlformats.org/officeDocument/2006/relationships/hyperlink" Target="file:///C:\Users\mncalderon\Desktop\nrm_articulo.aspx?param1=NRA&amp;nValor1=1&amp;nValor2=24284&amp;nValor3=99720&amp;nValor5=120755" TargetMode="External"/><Relationship Id="rId56" Type="http://schemas.openxmlformats.org/officeDocument/2006/relationships/hyperlink" Target="file:///C:\Users\mncalderon\Desktop\nrm_articulo.aspx?param1=NRA&amp;nValor1=1&amp;nValor2=24284&amp;nValor3=99720&amp;nValor5=120762" TargetMode="External"/><Relationship Id="rId64" Type="http://schemas.openxmlformats.org/officeDocument/2006/relationships/hyperlink" Target="file:///C:\Users\mncalderon\Desktop\nrm_articulo.aspx?param1=NRA&amp;nValor1=1&amp;nValor2=24284&amp;nValor3=99720&amp;nValor5=120770" TargetMode="External"/><Relationship Id="rId69" Type="http://schemas.openxmlformats.org/officeDocument/2006/relationships/hyperlink" Target="file:///C:\Users\mncalderon\Desktop\nrm_articulo.aspx?param1=NRA&amp;nValor1=1&amp;nValor2=24284&amp;nValor3=99720&amp;nValor5=120775" TargetMode="External"/><Relationship Id="rId77" Type="http://schemas.openxmlformats.org/officeDocument/2006/relationships/hyperlink" Target="file:///C:\Users\mncalderon\Desktop\nrm_articulo.aspx?param1=NRA&amp;nValor1=1&amp;nValor2=24284&amp;nValor3=99720&amp;nValor5=120783" TargetMode="External"/><Relationship Id="rId100" Type="http://schemas.openxmlformats.org/officeDocument/2006/relationships/hyperlink" Target="file:///C:\Users\mncalderon\Desktop\nrm_articulo.aspx?param1=NRA&amp;nValor1=1&amp;nValor2=24284&amp;nValor3=99720&amp;nValor5=120805" TargetMode="External"/><Relationship Id="rId105" Type="http://schemas.openxmlformats.org/officeDocument/2006/relationships/hyperlink" Target="file:///C:\Users\mncalderon\Desktop\nrm_articulo.aspx?param1=NRA&amp;nValor1=1&amp;nValor2=24284&amp;nValor3=99720&amp;nValor5=120810" TargetMode="External"/><Relationship Id="rId113" Type="http://schemas.openxmlformats.org/officeDocument/2006/relationships/hyperlink" Target="file:///C:\Users\mncalderon\Desktop\nrm_articulo.aspx?param1=NRA&amp;nValor1=1&amp;nValor2=24284&amp;nValor3=99720&amp;nValor5=120817" TargetMode="External"/><Relationship Id="rId118" Type="http://schemas.openxmlformats.org/officeDocument/2006/relationships/hyperlink" Target="file:///C:\Users\mncalderon\Desktop\nrm_articulo.aspx?param1=NRA&amp;nValor1=1&amp;nValor2=24284&amp;nValor3=99720&amp;nValor5=120821" TargetMode="External"/><Relationship Id="rId126" Type="http://schemas.openxmlformats.org/officeDocument/2006/relationships/hyperlink" Target="file:///C:\Users\mncalderon\Desktop\nrm_articulo.aspx?param1=NRA&amp;nValor1=1&amp;nValor2=24284&amp;nValor3=99720&amp;nValor5=120829" TargetMode="External"/><Relationship Id="rId8" Type="http://schemas.openxmlformats.org/officeDocument/2006/relationships/hyperlink" Target="file:///C:\Users\mncalderon\Desktop\nrm_articulo.aspx?param1=NRA&amp;nValor1=1&amp;nValor2=24284&amp;nValor3=99720&amp;nValor5=120718" TargetMode="External"/><Relationship Id="rId51" Type="http://schemas.openxmlformats.org/officeDocument/2006/relationships/hyperlink" Target="file:///C:\Users\mncalderon\Desktop\nrm_articulo.aspx?param1=NRA&amp;nValor1=1&amp;nValor2=24284&amp;nValor3=99720&amp;nValor5=194078" TargetMode="External"/><Relationship Id="rId72" Type="http://schemas.openxmlformats.org/officeDocument/2006/relationships/hyperlink" Target="file:///C:\Users\mncalderon\Desktop\nrm_articulo.aspx?param1=NRA&amp;nValor1=1&amp;nValor2=24284&amp;nValor3=99720&amp;nValor5=120778" TargetMode="External"/><Relationship Id="rId80" Type="http://schemas.openxmlformats.org/officeDocument/2006/relationships/hyperlink" Target="file:///C:\Users\mncalderon\Desktop\nrm_articulo.aspx?param1=NRA&amp;nValor1=1&amp;nValor2=24284&amp;nValor3=99720&amp;nValor5=120786" TargetMode="External"/><Relationship Id="rId85" Type="http://schemas.openxmlformats.org/officeDocument/2006/relationships/hyperlink" Target="file:///C:\Users\mncalderon\Desktop\nrm_articulo.aspx?param1=NRA&amp;nValor1=1&amp;nValor2=24284&amp;nValor3=99720&amp;nValor5=120791" TargetMode="External"/><Relationship Id="rId93" Type="http://schemas.openxmlformats.org/officeDocument/2006/relationships/hyperlink" Target="http://www.pgrweb.go.cr/scij/Busqueda/Normativa/Normas/nrm_norma.aspx?param1=NRM&amp;nValor1=1&amp;nValor2=79000&amp;strTipM=FN" TargetMode="External"/><Relationship Id="rId98" Type="http://schemas.openxmlformats.org/officeDocument/2006/relationships/hyperlink" Target="file:///C:\Users\mncalderon\Desktop\nrm_articulo.aspx?param1=NRA&amp;nValor1=1&amp;nValor2=24284&amp;nValor3=99720&amp;nValor5=120803" TargetMode="External"/><Relationship Id="rId121" Type="http://schemas.openxmlformats.org/officeDocument/2006/relationships/hyperlink" Target="file:///C:\Users\mncalderon\Desktop\nrm_articulo.aspx?param1=NRA&amp;nValor1=1&amp;nValor2=24284&amp;nValor3=99720&amp;nValor5=120824" TargetMode="External"/><Relationship Id="rId3" Type="http://schemas.openxmlformats.org/officeDocument/2006/relationships/settings" Target="settings.xml"/><Relationship Id="rId12" Type="http://schemas.openxmlformats.org/officeDocument/2006/relationships/hyperlink" Target="file:///C:\Users\mncalderon\Desktop\nrm_articulo.aspx?param1=NRA&amp;nValor1=1&amp;nValor2=24284&amp;nValor3=99720&amp;nValor5=120722" TargetMode="External"/><Relationship Id="rId17" Type="http://schemas.openxmlformats.org/officeDocument/2006/relationships/hyperlink" Target="file:///C:\Users\mncalderon\Desktop\nrm_articulo.aspx?param1=NRA&amp;nValor1=1&amp;nValor2=24284&amp;nValor3=99720&amp;nValor5=120727" TargetMode="External"/><Relationship Id="rId25" Type="http://schemas.openxmlformats.org/officeDocument/2006/relationships/hyperlink" Target="file:///C:\Users\mncalderon\Desktop\nrm_articulo.aspx?param1=NRA&amp;nValor1=1&amp;nValor2=24284&amp;nValor3=99720&amp;nValor5=120734" TargetMode="External"/><Relationship Id="rId33" Type="http://schemas.openxmlformats.org/officeDocument/2006/relationships/hyperlink" Target="file:///C:\Users\mncalderon\Desktop\nrm_articulo.aspx?param1=NRA&amp;nValor1=1&amp;nValor2=24284&amp;nValor3=99720&amp;nValor5=120741" TargetMode="External"/><Relationship Id="rId38" Type="http://schemas.openxmlformats.org/officeDocument/2006/relationships/hyperlink" Target="file:///C:\Users\mncalderon\Desktop\nrm_articulo.aspx?param1=NRA&amp;nValor1=1&amp;nValor2=24284&amp;nValor3=99720&amp;nValor5=120745" TargetMode="External"/><Relationship Id="rId46" Type="http://schemas.openxmlformats.org/officeDocument/2006/relationships/hyperlink" Target="file:///C:\Users\mncalderon\Desktop\nrm_articulo.aspx?param1=NRA&amp;nValor1=1&amp;nValor2=24284&amp;nValor3=99720&amp;nValor5=120753" TargetMode="External"/><Relationship Id="rId59" Type="http://schemas.openxmlformats.org/officeDocument/2006/relationships/hyperlink" Target="file:///C:\Users\mncalderon\Desktop\nrm_articulo.aspx?param1=NRA&amp;nValor1=1&amp;nValor2=24284&amp;nValor3=99720&amp;nValor5=120765" TargetMode="External"/><Relationship Id="rId67" Type="http://schemas.openxmlformats.org/officeDocument/2006/relationships/hyperlink" Target="file:///C:\Users\mncalderon\Desktop\nrm_articulo.aspx?param1=NRA&amp;nValor1=1&amp;nValor2=24284&amp;nValor3=99720&amp;nValor5=120773" TargetMode="External"/><Relationship Id="rId103" Type="http://schemas.openxmlformats.org/officeDocument/2006/relationships/hyperlink" Target="file:///C:\Users\mncalderon\Desktop\nrm_articulo.aspx?param1=NRA&amp;nValor1=1&amp;nValor2=24284&amp;nValor3=99720&amp;nValor5=120808" TargetMode="External"/><Relationship Id="rId108" Type="http://schemas.openxmlformats.org/officeDocument/2006/relationships/hyperlink" Target="file:///C:\Users\mncalderon\Desktop\nrm_articulo.aspx?param1=NRA&amp;nValor1=1&amp;nValor2=24284&amp;nValor3=99720&amp;nValor5=120813" TargetMode="External"/><Relationship Id="rId116" Type="http://schemas.openxmlformats.org/officeDocument/2006/relationships/hyperlink" Target="file:///C:\Users\mncalderon\Desktop\nrm_articulo.aspx?param1=NRA&amp;nValor1=1&amp;nValor2=24284&amp;nValor3=99720&amp;nValor5=120819" TargetMode="External"/><Relationship Id="rId124" Type="http://schemas.openxmlformats.org/officeDocument/2006/relationships/hyperlink" Target="file:///C:\Users\mncalderon\Desktop\nrm_articulo.aspx?param1=NRA&amp;nValor1=1&amp;nValor2=24284&amp;nValor3=99720&amp;nValor5=120827" TargetMode="External"/><Relationship Id="rId129" Type="http://schemas.openxmlformats.org/officeDocument/2006/relationships/fontTable" Target="fontTable.xml"/><Relationship Id="rId20" Type="http://schemas.openxmlformats.org/officeDocument/2006/relationships/hyperlink" Target="file:///C:\Users\mncalderon\Desktop\nrm_articulo.aspx?param1=NRA&amp;nValor1=1&amp;nValor2=24284&amp;nValor3=99720&amp;nValor5=120729" TargetMode="External"/><Relationship Id="rId41" Type="http://schemas.openxmlformats.org/officeDocument/2006/relationships/hyperlink" Target="file:///C:\Users\mncalderon\Desktop\nrm_articulo.aspx?param1=NRA&amp;nValor1=1&amp;nValor2=24284&amp;nValor3=99720&amp;nValor5=120748" TargetMode="External"/><Relationship Id="rId54" Type="http://schemas.openxmlformats.org/officeDocument/2006/relationships/hyperlink" Target="file:///C:\Users\mncalderon\Desktop\nrm_articulo.aspx?param1=NRA&amp;nValor1=1&amp;nValor2=24284&amp;nValor3=99720&amp;nValor5=120760" TargetMode="External"/><Relationship Id="rId62" Type="http://schemas.openxmlformats.org/officeDocument/2006/relationships/hyperlink" Target="file:///C:\Users\mncalderon\Desktop\nrm_articulo.aspx?param1=NRA&amp;nValor1=1&amp;nValor2=24284&amp;nValor3=99720&amp;nValor5=120768" TargetMode="External"/><Relationship Id="rId70" Type="http://schemas.openxmlformats.org/officeDocument/2006/relationships/hyperlink" Target="file:///C:\Users\mncalderon\Desktop\nrm_articulo.aspx?param1=NRA&amp;nValor1=1&amp;nValor2=24284&amp;nValor3=99720&amp;nValor5=120776" TargetMode="External"/><Relationship Id="rId75" Type="http://schemas.openxmlformats.org/officeDocument/2006/relationships/hyperlink" Target="file:///C:\Users\mncalderon\Desktop\nrm_articulo.aspx?param1=NRA&amp;nValor1=1&amp;nValor2=24284&amp;nValor3=99720&amp;nValor5=120781" TargetMode="External"/><Relationship Id="rId83" Type="http://schemas.openxmlformats.org/officeDocument/2006/relationships/hyperlink" Target="file:///C:\Users\mncalderon\Desktop\nrm_articulo.aspx?param1=NRA&amp;nValor1=1&amp;nValor2=24284&amp;nValor3=99720&amp;nValor5=120789" TargetMode="External"/><Relationship Id="rId88" Type="http://schemas.openxmlformats.org/officeDocument/2006/relationships/hyperlink" Target="file:///C:\Users\mncalderon\Desktop\nrm_articulo.aspx?param1=NRA&amp;nValor1=1&amp;nValor2=24284&amp;nValor3=99720&amp;nValor5=120794" TargetMode="External"/><Relationship Id="rId91" Type="http://schemas.openxmlformats.org/officeDocument/2006/relationships/hyperlink" Target="file:///C:\Users\mncalderon\Desktop\nrm_articulo.aspx?param1=NRA&amp;nValor1=1&amp;nValor2=24284&amp;nValor3=99720&amp;nValor5=120797" TargetMode="External"/><Relationship Id="rId96" Type="http://schemas.openxmlformats.org/officeDocument/2006/relationships/hyperlink" Target="file:///C:\Users\mncalderon\Desktop\nrm_articulo.aspx?param1=NRA&amp;nValor1=1&amp;nValor2=24284&amp;nValor3=99720&amp;nValor5=120801" TargetMode="External"/><Relationship Id="rId111" Type="http://schemas.openxmlformats.org/officeDocument/2006/relationships/hyperlink" Target="file:///C:\Users\mncalderon\Desktop\nrm_articulo.aspx?param1=NRA&amp;nValor1=1&amp;nValor2=24284&amp;nValor3=99720&amp;nValor5=120815" TargetMode="External"/><Relationship Id="rId1" Type="http://schemas.openxmlformats.org/officeDocument/2006/relationships/styles" Target="styles.xml"/><Relationship Id="rId6" Type="http://schemas.openxmlformats.org/officeDocument/2006/relationships/hyperlink" Target="file:///C:\Users\mncalderon\Desktop\nrm_articulo.aspx?param1=NRA&amp;nValor1=1&amp;nValor2=24284&amp;nValor3=99720&amp;nValor5=120717" TargetMode="External"/><Relationship Id="rId15" Type="http://schemas.openxmlformats.org/officeDocument/2006/relationships/hyperlink" Target="file:///C:\Users\mncalderon\Desktop\nrm_articulo.aspx?param1=NRA&amp;nValor1=1&amp;nValor2=24284&amp;nValor3=99720&amp;nValor5=120725" TargetMode="External"/><Relationship Id="rId23" Type="http://schemas.openxmlformats.org/officeDocument/2006/relationships/hyperlink" Target="file:///C:\Users\mncalderon\Desktop\nrm_articulo.aspx?param1=NRA&amp;nValor1=1&amp;nValor2=24284&amp;nValor3=99720&amp;nValor5=120732" TargetMode="External"/><Relationship Id="rId28" Type="http://schemas.openxmlformats.org/officeDocument/2006/relationships/hyperlink" Target="file:///C:\Users\mncalderon\Desktop\nrm_articulo.aspx?param1=NRA&amp;nValor1=1&amp;nValor2=24284&amp;nValor3=99720&amp;nValor5=120737" TargetMode="External"/><Relationship Id="rId36" Type="http://schemas.openxmlformats.org/officeDocument/2006/relationships/hyperlink" Target="file:///C:\Users\mncalderon\Desktop\nrm_articulo.aspx?param1=NRA&amp;nValor1=1&amp;nValor2=24284&amp;nValor3=99720&amp;nValor5=120743" TargetMode="External"/><Relationship Id="rId49" Type="http://schemas.openxmlformats.org/officeDocument/2006/relationships/hyperlink" Target="file:///C:\Users\mncalderon\Desktop\nrm_articulo.aspx?param1=NRA&amp;nValor1=1&amp;nValor2=24284&amp;nValor3=99720&amp;nValor5=120756" TargetMode="External"/><Relationship Id="rId57" Type="http://schemas.openxmlformats.org/officeDocument/2006/relationships/hyperlink" Target="file:///C:\Users\mncalderon\Desktop\nrm_articulo.aspx?param1=NRA&amp;nValor1=1&amp;nValor2=24284&amp;nValor3=99720&amp;nValor5=120763" TargetMode="External"/><Relationship Id="rId106" Type="http://schemas.openxmlformats.org/officeDocument/2006/relationships/hyperlink" Target="file:///C:\Users\mncalderon\Desktop\nrm_articulo.aspx?param1=NRA&amp;nValor1=1&amp;nValor2=24284&amp;nValor3=99720&amp;nValor5=120811" TargetMode="External"/><Relationship Id="rId114" Type="http://schemas.openxmlformats.org/officeDocument/2006/relationships/hyperlink" Target="file:///C:\Users\mncalderon\Desktop\nrm_articulo.aspx?param1=NRA&amp;nValor1=1&amp;nValor2=24284&amp;nValor3=99720&amp;nValor5=194079" TargetMode="External"/><Relationship Id="rId119" Type="http://schemas.openxmlformats.org/officeDocument/2006/relationships/hyperlink" Target="file:///C:\Users\mncalderon\Desktop\nrm_articulo.aspx?param1=NRA&amp;nValor1=1&amp;nValor2=24284&amp;nValor3=99720&amp;nValor5=120822" TargetMode="External"/><Relationship Id="rId127" Type="http://schemas.openxmlformats.org/officeDocument/2006/relationships/hyperlink" Target="file:///C:\Users\mncalderon\Desktop\nrm_articulo.aspx?param1=NRA&amp;nValor1=1&amp;nValor2=24284&amp;nValor3=99720&amp;nValor5=120830" TargetMode="External"/><Relationship Id="rId10" Type="http://schemas.openxmlformats.org/officeDocument/2006/relationships/hyperlink" Target="file:///C:\Users\mncalderon\Desktop\nrm_articulo.aspx?param1=NRA&amp;nValor1=1&amp;nValor2=24284&amp;nValor3=99720&amp;nValor5=120720" TargetMode="External"/><Relationship Id="rId31" Type="http://schemas.openxmlformats.org/officeDocument/2006/relationships/hyperlink" Target="file:///C:\Users\mncalderon\Desktop\nrm_articulo.aspx?param1=NRA&amp;nValor1=1&amp;nValor2=24284&amp;nValor3=99720&amp;nValor5=120739" TargetMode="External"/><Relationship Id="rId44" Type="http://schemas.openxmlformats.org/officeDocument/2006/relationships/hyperlink" Target="file:///C:\Users\mncalderon\Desktop\nrm_articulo.aspx?param1=NRA&amp;nValor1=1&amp;nValor2=24284&amp;nValor3=99720&amp;nValor5=120751" TargetMode="External"/><Relationship Id="rId52" Type="http://schemas.openxmlformats.org/officeDocument/2006/relationships/hyperlink" Target="file:///C:\Users\mncalderon\Desktop\nrm_articulo.aspx?param1=NRA&amp;nValor1=1&amp;nValor2=24284&amp;nValor3=99720&amp;nValor5=120758" TargetMode="External"/><Relationship Id="rId60" Type="http://schemas.openxmlformats.org/officeDocument/2006/relationships/hyperlink" Target="file:///C:\Users\mncalderon\Desktop\nrm_articulo.aspx?param1=NRA&amp;nValor1=1&amp;nValor2=24284&amp;nValor3=99720&amp;nValor5=120766" TargetMode="External"/><Relationship Id="rId65" Type="http://schemas.openxmlformats.org/officeDocument/2006/relationships/hyperlink" Target="file:///C:\Users\mncalderon\Desktop\nrm_articulo.aspx?param1=NRA&amp;nValor1=1&amp;nValor2=24284&amp;nValor3=99720&amp;nValor5=120771" TargetMode="External"/><Relationship Id="rId73" Type="http://schemas.openxmlformats.org/officeDocument/2006/relationships/hyperlink" Target="file:///C:\Users\mncalderon\Desktop\nrm_articulo.aspx?param1=NRA&amp;nValor1=1&amp;nValor2=24284&amp;nValor3=99720&amp;nValor5=120779" TargetMode="External"/><Relationship Id="rId78" Type="http://schemas.openxmlformats.org/officeDocument/2006/relationships/hyperlink" Target="file:///C:\Users\mncalderon\Desktop\nrm_articulo.aspx?param1=NRA&amp;nValor1=1&amp;nValor2=24284&amp;nValor3=99720&amp;nValor5=120784" TargetMode="External"/><Relationship Id="rId81" Type="http://schemas.openxmlformats.org/officeDocument/2006/relationships/hyperlink" Target="file:///C:\Users\mncalderon\Desktop\nrm_articulo.aspx?param1=NRA&amp;nValor1=1&amp;nValor2=24284&amp;nValor3=99720&amp;nValor5=120787" TargetMode="External"/><Relationship Id="rId86" Type="http://schemas.openxmlformats.org/officeDocument/2006/relationships/hyperlink" Target="file:///C:\Users\mncalderon\Desktop\nrm_articulo.aspx?param1=NRA&amp;nValor1=1&amp;nValor2=24284&amp;nValor3=99720&amp;nValor5=120792" TargetMode="External"/><Relationship Id="rId94" Type="http://schemas.openxmlformats.org/officeDocument/2006/relationships/hyperlink" Target="file:///C:\Users\mncalderon\Desktop\nrm_articulo.aspx?param1=NRA&amp;nValor1=1&amp;nValor2=24284&amp;nValor3=99720&amp;nValor5=120799" TargetMode="External"/><Relationship Id="rId99" Type="http://schemas.openxmlformats.org/officeDocument/2006/relationships/hyperlink" Target="file:///C:\Users\mncalderon\Desktop\nrm_articulo.aspx?param1=NRA&amp;nValor1=1&amp;nValor2=24284&amp;nValor3=99720&amp;nValor5=120804" TargetMode="External"/><Relationship Id="rId101" Type="http://schemas.openxmlformats.org/officeDocument/2006/relationships/hyperlink" Target="file:///C:\Users\mncalderon\Desktop\nrm_articulo.aspx?param1=NRA&amp;nValor1=1&amp;nValor2=24284&amp;nValor3=99720&amp;nValor5=120806" TargetMode="External"/><Relationship Id="rId122" Type="http://schemas.openxmlformats.org/officeDocument/2006/relationships/hyperlink" Target="file:///C:\Users\mncalderon\Desktop\nrm_articulo.aspx?param1=NRA&amp;nValor1=1&amp;nValor2=24284&amp;nValor3=99720&amp;nValor5=120825"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mncalderon\Desktop\nrm_articulo.aspx?param1=NRA&amp;nValor1=1&amp;nValor2=24284&amp;nValor3=99720&amp;nValor5=120719" TargetMode="External"/><Relationship Id="rId13" Type="http://schemas.openxmlformats.org/officeDocument/2006/relationships/hyperlink" Target="file:///C:\Users\mncalderon\Desktop\nrm_articulo.aspx?param1=NRA&amp;nValor1=1&amp;nValor2=24284&amp;nValor3=99720&amp;nValor5=120723" TargetMode="External"/><Relationship Id="rId18" Type="http://schemas.openxmlformats.org/officeDocument/2006/relationships/hyperlink" Target="file:///C:\Users\mncalderon\Desktop\nrm_articulo.aspx?param1=NRA&amp;nValor1=1&amp;nValor2=24284&amp;nValor3=99720&amp;nValor5=194077" TargetMode="External"/><Relationship Id="rId39" Type="http://schemas.openxmlformats.org/officeDocument/2006/relationships/hyperlink" Target="file:///C:\Users\mncalderon\Desktop\nrm_articulo.aspx?param1=NRA&amp;nValor1=1&amp;nValor2=24284&amp;nValor3=99720&amp;nValor5=120746" TargetMode="External"/><Relationship Id="rId109" Type="http://schemas.openxmlformats.org/officeDocument/2006/relationships/hyperlink" Target="file:///C:\Users\mncalderon\Desktop\nrm_articulo.aspx?param1=NRA&amp;nValor1=1&amp;nValor2=24284&amp;nValor3=99720&amp;nValor5=120814" TargetMode="External"/><Relationship Id="rId34" Type="http://schemas.openxmlformats.org/officeDocument/2006/relationships/hyperlink" Target="http://www.pgrweb.go.cr/scij/Busqueda/Normativa/Normas/nrm_norma.aspx?param1=NRM&amp;nValor1=1&amp;nValor2=79000&amp;strTipM=FN" TargetMode="External"/><Relationship Id="rId50" Type="http://schemas.openxmlformats.org/officeDocument/2006/relationships/hyperlink" Target="file:///C:\Users\mncalderon\Desktop\nrm_articulo.aspx?param1=NRA&amp;nValor1=1&amp;nValor2=24284&amp;nValor3=99720&amp;nValor5=120757" TargetMode="External"/><Relationship Id="rId55" Type="http://schemas.openxmlformats.org/officeDocument/2006/relationships/hyperlink" Target="file:///C:\Users\mncalderon\Desktop\nrm_articulo.aspx?param1=NRA&amp;nValor1=1&amp;nValor2=24284&amp;nValor3=99720&amp;nValor5=120761" TargetMode="External"/><Relationship Id="rId76" Type="http://schemas.openxmlformats.org/officeDocument/2006/relationships/hyperlink" Target="file:///C:\Users\mncalderon\Desktop\nrm_articulo.aspx?param1=NRA&amp;nValor1=1&amp;nValor2=24284&amp;nValor3=99720&amp;nValor5=120782" TargetMode="External"/><Relationship Id="rId97" Type="http://schemas.openxmlformats.org/officeDocument/2006/relationships/hyperlink" Target="file:///C:\Users\mncalderon\Desktop\nrm_articulo.aspx?param1=NRA&amp;nValor1=1&amp;nValor2=24284&amp;nValor3=99720&amp;nValor5=120802" TargetMode="External"/><Relationship Id="rId104" Type="http://schemas.openxmlformats.org/officeDocument/2006/relationships/hyperlink" Target="file:///C:\Users\mncalderon\Desktop\nrm_articulo.aspx?param1=NRA&amp;nValor1=1&amp;nValor2=24284&amp;nValor3=99720&amp;nValor5=120809" TargetMode="External"/><Relationship Id="rId120" Type="http://schemas.openxmlformats.org/officeDocument/2006/relationships/hyperlink" Target="file:///C:\Users\mncalderon\Desktop\nrm_articulo.aspx?param1=NRA&amp;nValor1=1&amp;nValor2=24284&amp;nValor3=99720&amp;nValor5=120823" TargetMode="External"/><Relationship Id="rId125" Type="http://schemas.openxmlformats.org/officeDocument/2006/relationships/hyperlink" Target="file:///C:\Users\mncalderon\Desktop\nrm_articulo.aspx?param1=NRA&amp;nValor1=1&amp;nValor2=24284&amp;nValor3=99720&amp;nValor5=120828" TargetMode="External"/><Relationship Id="rId7" Type="http://schemas.openxmlformats.org/officeDocument/2006/relationships/hyperlink" Target="file:///C:\Users\mncalderon\Desktop\nrm_articulo.aspx?param1=NRA&amp;nValor1=1&amp;nValor2=24284&amp;nValor3=99720&amp;nValor5=194076" TargetMode="External"/><Relationship Id="rId71" Type="http://schemas.openxmlformats.org/officeDocument/2006/relationships/hyperlink" Target="file:///C:\Users\mncalderon\Desktop\nrm_articulo.aspx?param1=NRA&amp;nValor1=1&amp;nValor2=24284&amp;nValor3=99720&amp;nValor5=120777" TargetMode="External"/><Relationship Id="rId92" Type="http://schemas.openxmlformats.org/officeDocument/2006/relationships/hyperlink" Target="file:///C:\Users\mncalderon\Desktop\nrm_articulo.aspx?param1=NRA&amp;nValor1=1&amp;nValor2=24284&amp;nValor3=99720&amp;nValor5=120798" TargetMode="External"/><Relationship Id="rId2" Type="http://schemas.microsoft.com/office/2007/relationships/stylesWithEffects" Target="stylesWithEffects.xml"/><Relationship Id="rId29" Type="http://schemas.openxmlformats.org/officeDocument/2006/relationships/hyperlink" Target="file:///C:\Users\mncalderon\Desktop\nrm_articulo.aspx?param1=NRA&amp;nValor1=1&amp;nValor2=24284&amp;nValor3=99720&amp;nValor5=194074" TargetMode="External"/><Relationship Id="rId24" Type="http://schemas.openxmlformats.org/officeDocument/2006/relationships/hyperlink" Target="file:///C:\Users\mncalderon\Desktop\nrm_articulo.aspx?param1=NRA&amp;nValor1=1&amp;nValor2=24284&amp;nValor3=99720&amp;nValor5=120733" TargetMode="External"/><Relationship Id="rId40" Type="http://schemas.openxmlformats.org/officeDocument/2006/relationships/hyperlink" Target="file:///C:\Users\mncalderon\Desktop\nrm_articulo.aspx?param1=NRA&amp;nValor1=1&amp;nValor2=24284&amp;nValor3=99720&amp;nValor5=120747" TargetMode="External"/><Relationship Id="rId45" Type="http://schemas.openxmlformats.org/officeDocument/2006/relationships/hyperlink" Target="file:///C:\Users\mncalderon\Desktop\nrm_articulo.aspx?param1=NRA&amp;nValor1=1&amp;nValor2=24284&amp;nValor3=99720&amp;nValor5=120752" TargetMode="External"/><Relationship Id="rId66" Type="http://schemas.openxmlformats.org/officeDocument/2006/relationships/hyperlink" Target="file:///C:\Users\mncalderon\Desktop\nrm_articulo.aspx?param1=NRA&amp;nValor1=1&amp;nValor2=24284&amp;nValor3=99720&amp;nValor5=120772" TargetMode="External"/><Relationship Id="rId87" Type="http://schemas.openxmlformats.org/officeDocument/2006/relationships/hyperlink" Target="file:///C:\Users\mncalderon\Desktop\nrm_articulo.aspx?param1=NRA&amp;nValor1=1&amp;nValor2=24284&amp;nValor3=99720&amp;nValor5=120793" TargetMode="External"/><Relationship Id="rId110" Type="http://schemas.openxmlformats.org/officeDocument/2006/relationships/hyperlink" Target="file:///C:\Users\mncalderon\Desktop\nrm_articulo.aspx?param1=NRA&amp;nValor1=1&amp;nValor2=24284&amp;nValor3=99720&amp;nValor5=194075" TargetMode="External"/><Relationship Id="rId115" Type="http://schemas.openxmlformats.org/officeDocument/2006/relationships/hyperlink" Target="file:///C:\Users\mncalderon\Desktop\nrm_articulo.aspx?param1=NRA&amp;nValor1=1&amp;nValor2=24284&amp;nValor3=99720&amp;nValor5=120818" TargetMode="External"/><Relationship Id="rId61" Type="http://schemas.openxmlformats.org/officeDocument/2006/relationships/hyperlink" Target="file:///C:\Users\mncalderon\Desktop\nrm_articulo.aspx?param1=NRA&amp;nValor1=1&amp;nValor2=24284&amp;nValor3=99720&amp;nValor5=120767" TargetMode="External"/><Relationship Id="rId82" Type="http://schemas.openxmlformats.org/officeDocument/2006/relationships/hyperlink" Target="file:///C:\Users\mncalderon\Desktop\nrm_articulo.aspx?param1=NRA&amp;nValor1=1&amp;nValor2=24284&amp;nValor3=99720&amp;nValor5=120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21040</Words>
  <Characters>115722</Characters>
  <Application>Microsoft Office Word</Application>
  <DocSecurity>0</DocSecurity>
  <Lines>964</Lines>
  <Paragraphs>272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 Calderon Rivera</dc:creator>
  <cp:lastModifiedBy>Marianela Calderon Rivera</cp:lastModifiedBy>
  <cp:revision>1</cp:revision>
  <dcterms:created xsi:type="dcterms:W3CDTF">2015-11-05T20:45:00Z</dcterms:created>
  <dcterms:modified xsi:type="dcterms:W3CDTF">2015-11-05T20:46:00Z</dcterms:modified>
</cp:coreProperties>
</file>